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439AA" w14:textId="77777777" w:rsidR="000161CF" w:rsidRPr="009A09C3" w:rsidRDefault="000161CF" w:rsidP="006D04D2">
      <w:pPr>
        <w:spacing w:after="0" w:line="360" w:lineRule="auto"/>
        <w:jc w:val="both"/>
        <w:rPr>
          <w:rFonts w:ascii="Arial" w:hAnsi="Arial" w:cs="Arial"/>
        </w:rPr>
      </w:pPr>
    </w:p>
    <w:p w14:paraId="42A87581" w14:textId="1053B476" w:rsidR="003E36A0" w:rsidRPr="00F125C5" w:rsidRDefault="003E36A0" w:rsidP="003E47DB">
      <w:pPr>
        <w:spacing w:after="0" w:line="360" w:lineRule="auto"/>
        <w:jc w:val="center"/>
        <w:rPr>
          <w:rFonts w:ascii="Arial" w:hAnsi="Arial" w:cs="Arial"/>
        </w:rPr>
      </w:pPr>
      <w:r w:rsidRPr="00F125C5">
        <w:rPr>
          <w:rFonts w:ascii="Arial" w:hAnsi="Arial" w:cs="Arial"/>
        </w:rPr>
        <w:t>Tomada Pública de Contribuições nº 03/2018</w:t>
      </w:r>
    </w:p>
    <w:p w14:paraId="763ECFEE" w14:textId="62BBDF16" w:rsidR="003E36A0" w:rsidRPr="00F125C5" w:rsidRDefault="003E36A0" w:rsidP="003E36A0">
      <w:pPr>
        <w:spacing w:after="0" w:line="360" w:lineRule="auto"/>
        <w:jc w:val="both"/>
        <w:rPr>
          <w:rFonts w:ascii="Arial" w:hAnsi="Arial" w:cs="Arial"/>
        </w:rPr>
      </w:pPr>
    </w:p>
    <w:p w14:paraId="5C6A321F" w14:textId="6196B0C2" w:rsidR="003E36A0" w:rsidRPr="00F125C5" w:rsidRDefault="008D1807" w:rsidP="008D1807">
      <w:pPr>
        <w:spacing w:after="0" w:line="360" w:lineRule="auto"/>
        <w:jc w:val="center"/>
        <w:rPr>
          <w:rFonts w:ascii="Arial" w:hAnsi="Arial" w:cs="Arial"/>
          <w:b/>
        </w:rPr>
      </w:pPr>
      <w:r w:rsidRPr="00F125C5">
        <w:rPr>
          <w:rFonts w:ascii="Arial" w:hAnsi="Arial" w:cs="Arial"/>
          <w:b/>
        </w:rPr>
        <w:t>Verticalização da cadeia de distribuição de combustíveis</w:t>
      </w:r>
    </w:p>
    <w:p w14:paraId="6D07DE09" w14:textId="33C35F77" w:rsidR="008D1807" w:rsidRPr="00F125C5" w:rsidRDefault="008D1807" w:rsidP="008D1807">
      <w:pPr>
        <w:spacing w:after="0" w:line="360" w:lineRule="auto"/>
        <w:jc w:val="center"/>
        <w:rPr>
          <w:rFonts w:ascii="Arial" w:hAnsi="Arial" w:cs="Arial"/>
          <w:i/>
        </w:rPr>
      </w:pPr>
      <w:r w:rsidRPr="00F125C5">
        <w:rPr>
          <w:rFonts w:ascii="Arial" w:hAnsi="Arial" w:cs="Arial"/>
          <w:i/>
        </w:rPr>
        <w:t xml:space="preserve">Position </w:t>
      </w:r>
      <w:proofErr w:type="spellStart"/>
      <w:r w:rsidRPr="00F125C5">
        <w:rPr>
          <w:rFonts w:ascii="Arial" w:hAnsi="Arial" w:cs="Arial"/>
          <w:i/>
        </w:rPr>
        <w:t>Paper</w:t>
      </w:r>
      <w:proofErr w:type="spellEnd"/>
    </w:p>
    <w:p w14:paraId="69322149" w14:textId="2D78B8A9" w:rsidR="008D1807" w:rsidRPr="00F125C5" w:rsidRDefault="00751A48" w:rsidP="008D1807">
      <w:pPr>
        <w:spacing w:after="0" w:line="360" w:lineRule="auto"/>
        <w:jc w:val="center"/>
        <w:rPr>
          <w:rFonts w:ascii="Arial" w:hAnsi="Arial" w:cs="Arial"/>
        </w:rPr>
      </w:pPr>
      <w:r w:rsidRPr="00F125C5">
        <w:rPr>
          <w:rFonts w:ascii="Arial" w:hAnsi="Arial" w:cs="Arial"/>
        </w:rPr>
        <w:t>Novembro</w:t>
      </w:r>
      <w:r w:rsidR="008D1807" w:rsidRPr="00F125C5">
        <w:rPr>
          <w:rFonts w:ascii="Arial" w:hAnsi="Arial" w:cs="Arial"/>
        </w:rPr>
        <w:t>/2018</w:t>
      </w:r>
    </w:p>
    <w:p w14:paraId="16B1A14B" w14:textId="37857C2F" w:rsidR="008D1807" w:rsidRPr="00F125C5" w:rsidRDefault="008D1807" w:rsidP="008D1807">
      <w:pPr>
        <w:spacing w:after="0" w:line="360" w:lineRule="auto"/>
        <w:rPr>
          <w:rFonts w:ascii="Arial" w:hAnsi="Arial" w:cs="Arial"/>
        </w:rPr>
      </w:pPr>
    </w:p>
    <w:p w14:paraId="292184D4" w14:textId="06664A06" w:rsidR="00DA28A0" w:rsidRPr="00F125C5" w:rsidRDefault="00DA28A0" w:rsidP="00DA28A0">
      <w:pPr>
        <w:spacing w:after="0" w:line="360" w:lineRule="auto"/>
        <w:ind w:firstLine="708"/>
        <w:jc w:val="both"/>
        <w:rPr>
          <w:rFonts w:ascii="Arial" w:hAnsi="Arial" w:cs="Arial"/>
        </w:rPr>
      </w:pPr>
      <w:r w:rsidRPr="00F125C5">
        <w:rPr>
          <w:rFonts w:ascii="Arial" w:hAnsi="Arial" w:cs="Arial"/>
        </w:rPr>
        <w:t xml:space="preserve">Em 20 de setembro de 2018, foi publicado no Diário Oficial da União (DOU) o aviso da Tomada Pública de Contribuições nº 03/2018 da Agência Nacional de Petróleo, Gás Natural e Biocombustíveis (ANP) (TPC nº 03/2018), convidando a sociedade a apresentar contribuições, dados e informações sobre a </w:t>
      </w:r>
      <w:r w:rsidR="00632CA1" w:rsidRPr="00F125C5">
        <w:rPr>
          <w:rFonts w:ascii="Arial" w:hAnsi="Arial" w:cs="Arial"/>
        </w:rPr>
        <w:t>verticalização</w:t>
      </w:r>
      <w:r w:rsidR="00FC235D" w:rsidRPr="00F125C5">
        <w:rPr>
          <w:rFonts w:ascii="Arial" w:hAnsi="Arial" w:cs="Arial"/>
        </w:rPr>
        <w:t xml:space="preserve"> da cadeia de distribuição de combustíveis</w:t>
      </w:r>
      <w:r w:rsidRPr="00F125C5">
        <w:rPr>
          <w:rFonts w:ascii="Arial" w:hAnsi="Arial" w:cs="Arial"/>
        </w:rPr>
        <w:t>, no período de 21 de setembro a 20 de outubro de 2018. Em 05 de outubro de 2018, este prazo foi prorrogado por 30 dias</w:t>
      </w:r>
      <w:r w:rsidR="00E861FC" w:rsidRPr="00F125C5">
        <w:rPr>
          <w:rFonts w:ascii="Arial" w:hAnsi="Arial" w:cs="Arial"/>
        </w:rPr>
        <w:t>, de modo que a da</w:t>
      </w:r>
      <w:r w:rsidRPr="00F125C5">
        <w:rPr>
          <w:rFonts w:ascii="Arial" w:hAnsi="Arial" w:cs="Arial"/>
        </w:rPr>
        <w:t xml:space="preserve">ta limite para envio das contribuições passou a ser o dia 19 de novembro, motivo pelo qual esta contribuição é tempestiva. </w:t>
      </w:r>
    </w:p>
    <w:p w14:paraId="3AE651E0" w14:textId="77777777" w:rsidR="00530B1F" w:rsidRPr="00F125C5" w:rsidRDefault="004A1993" w:rsidP="00530B1F">
      <w:pPr>
        <w:spacing w:after="0" w:line="360" w:lineRule="auto"/>
        <w:ind w:firstLine="708"/>
        <w:jc w:val="both"/>
        <w:rPr>
          <w:rFonts w:ascii="Arial" w:hAnsi="Arial" w:cs="Arial"/>
        </w:rPr>
      </w:pPr>
      <w:r w:rsidRPr="00F125C5">
        <w:rPr>
          <w:rFonts w:ascii="Arial" w:hAnsi="Arial" w:cs="Arial"/>
        </w:rPr>
        <w:t>A iniciativa insere-se no contexto de medidas regulatórias adotadas após a greve dos caminhoneiros em maio de 2018. Insere-se, também, no bojo das discussões do Grupo de Trabalho (GT) entre o Conselho Administrativo de Defesa Econômica (</w:t>
      </w:r>
      <w:proofErr w:type="spellStart"/>
      <w:r w:rsidRPr="00F125C5">
        <w:rPr>
          <w:rFonts w:ascii="Arial" w:hAnsi="Arial" w:cs="Arial"/>
        </w:rPr>
        <w:t>Cade</w:t>
      </w:r>
      <w:proofErr w:type="spellEnd"/>
      <w:r w:rsidRPr="00F125C5">
        <w:rPr>
          <w:rFonts w:ascii="Arial" w:hAnsi="Arial" w:cs="Arial"/>
        </w:rPr>
        <w:t xml:space="preserve">) e a ANP, criado em junho de 2018, com o objetivo de estudar a estrutura do mercado de combustíveis e avaliar medidas regulatórias pró-concorrenciais ao setor. </w:t>
      </w:r>
    </w:p>
    <w:p w14:paraId="4AC65C1D" w14:textId="49E39560" w:rsidR="00530B1F" w:rsidRPr="00F125C5" w:rsidRDefault="00530B1F" w:rsidP="00530B1F">
      <w:pPr>
        <w:spacing w:after="0" w:line="360" w:lineRule="auto"/>
        <w:ind w:firstLine="708"/>
        <w:jc w:val="both"/>
        <w:rPr>
          <w:rFonts w:ascii="Arial" w:hAnsi="Arial" w:cs="Arial"/>
        </w:rPr>
      </w:pPr>
      <w:r w:rsidRPr="00F125C5">
        <w:rPr>
          <w:rFonts w:ascii="Arial" w:hAnsi="Arial" w:cs="Arial"/>
        </w:rPr>
        <w:t xml:space="preserve">A verticalização da cadeia de distribuição de combustíveis, objeto desta TPC, foi uma das medidas regulatórias apresentadas pelo </w:t>
      </w:r>
      <w:proofErr w:type="spellStart"/>
      <w:r w:rsidRPr="00F125C5">
        <w:rPr>
          <w:rFonts w:ascii="Arial" w:hAnsi="Arial" w:cs="Arial"/>
        </w:rPr>
        <w:t>Cade</w:t>
      </w:r>
      <w:proofErr w:type="spellEnd"/>
      <w:r w:rsidRPr="00F125C5">
        <w:rPr>
          <w:rFonts w:ascii="Arial" w:hAnsi="Arial" w:cs="Arial"/>
        </w:rPr>
        <w:t xml:space="preserve"> no documento “</w:t>
      </w:r>
      <w:r w:rsidRPr="00F125C5">
        <w:rPr>
          <w:rFonts w:ascii="Arial" w:hAnsi="Arial" w:cs="Arial"/>
          <w:i/>
        </w:rPr>
        <w:t>Repensando o setor de combustíveis: medidas pró-concorrência”,</w:t>
      </w:r>
      <w:r w:rsidRPr="00F125C5">
        <w:rPr>
          <w:rStyle w:val="Refdenotaderodap"/>
          <w:rFonts w:ascii="Arial" w:hAnsi="Arial" w:cs="Arial"/>
        </w:rPr>
        <w:t xml:space="preserve"> </w:t>
      </w:r>
      <w:r w:rsidRPr="00F125C5">
        <w:rPr>
          <w:rStyle w:val="Refdenotaderodap"/>
          <w:rFonts w:ascii="Arial" w:hAnsi="Arial" w:cs="Arial"/>
        </w:rPr>
        <w:footnoteReference w:id="2"/>
      </w:r>
      <w:r w:rsidRPr="00F125C5">
        <w:rPr>
          <w:rFonts w:ascii="Arial" w:hAnsi="Arial" w:cs="Arial"/>
          <w:i/>
        </w:rPr>
        <w:t xml:space="preserve"> </w:t>
      </w:r>
      <w:r w:rsidRPr="00F125C5">
        <w:rPr>
          <w:rFonts w:ascii="Arial" w:hAnsi="Arial" w:cs="Arial"/>
        </w:rPr>
        <w:t xml:space="preserve">publicado em maio de 2018. </w:t>
      </w:r>
    </w:p>
    <w:p w14:paraId="411EBB9A" w14:textId="7858A8C2" w:rsidR="004A1993" w:rsidRPr="00F125C5" w:rsidRDefault="004A1993" w:rsidP="004A1993">
      <w:pPr>
        <w:spacing w:after="0" w:line="360" w:lineRule="auto"/>
        <w:ind w:firstLine="708"/>
        <w:jc w:val="both"/>
        <w:rPr>
          <w:rFonts w:ascii="Arial" w:hAnsi="Arial" w:cs="Arial"/>
        </w:rPr>
      </w:pPr>
      <w:r w:rsidRPr="00F125C5">
        <w:rPr>
          <w:rFonts w:ascii="Arial" w:hAnsi="Arial" w:cs="Arial"/>
        </w:rPr>
        <w:t xml:space="preserve">Desde a instituição do GT, diversas </w:t>
      </w:r>
      <w:r w:rsidR="00530B1F" w:rsidRPr="00F125C5">
        <w:rPr>
          <w:rFonts w:ascii="Arial" w:hAnsi="Arial" w:cs="Arial"/>
        </w:rPr>
        <w:t xml:space="preserve">outras </w:t>
      </w:r>
      <w:r w:rsidRPr="00F125C5">
        <w:rPr>
          <w:rFonts w:ascii="Arial" w:hAnsi="Arial" w:cs="Arial"/>
        </w:rPr>
        <w:t xml:space="preserve">Consultas e </w:t>
      </w:r>
      <w:proofErr w:type="spellStart"/>
      <w:r w:rsidRPr="00F125C5">
        <w:rPr>
          <w:rFonts w:ascii="Arial" w:hAnsi="Arial" w:cs="Arial"/>
        </w:rPr>
        <w:t>TPCs</w:t>
      </w:r>
      <w:proofErr w:type="spellEnd"/>
      <w:r w:rsidRPr="00F125C5">
        <w:rPr>
          <w:rFonts w:ascii="Arial" w:hAnsi="Arial" w:cs="Arial"/>
        </w:rPr>
        <w:t xml:space="preserve"> foram abertas pela ANP tangenciando as propostas regulatórias apresentadas ao longo do ano. Citam-se como exemplos a Consulta Pública nº 20/2018, por meio da qual foi apresentada minuta de resolução dispondo sobre a transparência de preços e fórmulas no setor de combustíveis, e a Tomada Pública de Contribuições nº 02/2018, em que foi discutida a possibilidade de venda direta de etanol pelas usinas aos pontos revendedores varejistas. </w:t>
      </w:r>
      <w:r w:rsidR="003D370F" w:rsidRPr="00F125C5">
        <w:rPr>
          <w:rFonts w:ascii="Arial" w:hAnsi="Arial" w:cs="Arial"/>
        </w:rPr>
        <w:t xml:space="preserve">Concomitantemente a esta tomada púbica, também está em curso outra (TPC nº 04/2018), </w:t>
      </w:r>
      <w:r w:rsidR="00D57F88" w:rsidRPr="00F125C5">
        <w:rPr>
          <w:rFonts w:ascii="Arial" w:hAnsi="Arial" w:cs="Arial"/>
        </w:rPr>
        <w:t>que abriu prazo para contribuições sobre a elaboração de um ato normativo que determinasse o “</w:t>
      </w:r>
      <w:r w:rsidR="00D57F88" w:rsidRPr="00F125C5">
        <w:rPr>
          <w:rFonts w:ascii="Arial" w:hAnsi="Arial" w:cs="Arial"/>
          <w:i/>
          <w:iCs/>
        </w:rPr>
        <w:t>fim da tutela regulatória da fidelidade à bandeira</w:t>
      </w:r>
      <w:r w:rsidR="00D57F88" w:rsidRPr="00F125C5">
        <w:rPr>
          <w:rFonts w:ascii="Arial" w:hAnsi="Arial" w:cs="Arial"/>
        </w:rPr>
        <w:t>”.</w:t>
      </w:r>
    </w:p>
    <w:p w14:paraId="54D0585D" w14:textId="4F024543" w:rsidR="00807CD4" w:rsidRPr="00F125C5" w:rsidRDefault="00807CD4" w:rsidP="00807CD4">
      <w:pPr>
        <w:spacing w:after="0" w:line="360" w:lineRule="auto"/>
        <w:ind w:firstLine="708"/>
        <w:jc w:val="both"/>
        <w:rPr>
          <w:rFonts w:ascii="Arial" w:hAnsi="Arial" w:cs="Arial"/>
        </w:rPr>
      </w:pPr>
      <w:r w:rsidRPr="00F125C5">
        <w:rPr>
          <w:rFonts w:ascii="Arial" w:hAnsi="Arial" w:cs="Arial"/>
        </w:rPr>
        <w:t>O presente documento tem por objetivo apresentar</w:t>
      </w:r>
      <w:r w:rsidR="00DA514A" w:rsidRPr="00F125C5">
        <w:rPr>
          <w:rFonts w:ascii="Arial" w:hAnsi="Arial" w:cs="Arial"/>
        </w:rPr>
        <w:t xml:space="preserve"> </w:t>
      </w:r>
      <w:r w:rsidRPr="00F125C5">
        <w:rPr>
          <w:rFonts w:ascii="Arial" w:hAnsi="Arial" w:cs="Arial"/>
        </w:rPr>
        <w:t xml:space="preserve">alguns pontos essenciais ao debate sobre </w:t>
      </w:r>
      <w:r w:rsidR="001D5F33" w:rsidRPr="00F125C5">
        <w:rPr>
          <w:rFonts w:ascii="Arial" w:hAnsi="Arial" w:cs="Arial"/>
        </w:rPr>
        <w:t xml:space="preserve">a verticalização </w:t>
      </w:r>
      <w:r w:rsidRPr="00F125C5">
        <w:rPr>
          <w:rFonts w:ascii="Arial" w:hAnsi="Arial" w:cs="Arial"/>
        </w:rPr>
        <w:t xml:space="preserve">identificados pela </w:t>
      </w:r>
      <w:proofErr w:type="spellStart"/>
      <w:r w:rsidRPr="00F125C5">
        <w:rPr>
          <w:rFonts w:ascii="Arial" w:hAnsi="Arial" w:cs="Arial"/>
          <w:b/>
        </w:rPr>
        <w:t>Raízen</w:t>
      </w:r>
      <w:proofErr w:type="spellEnd"/>
      <w:r w:rsidRPr="00F125C5">
        <w:rPr>
          <w:rFonts w:ascii="Arial" w:hAnsi="Arial" w:cs="Arial"/>
        </w:rPr>
        <w:t xml:space="preserve">, que devem ser ponderados em </w:t>
      </w:r>
      <w:r w:rsidRPr="00F125C5">
        <w:rPr>
          <w:rFonts w:ascii="Arial" w:hAnsi="Arial" w:cs="Arial"/>
        </w:rPr>
        <w:lastRenderedPageBreak/>
        <w:t xml:space="preserve">qualquer discussão que se volte à alteração das normas regulatórias atualmente vigentes sobre o tema. Ressalta-se que o presente texto reflete somente a opinião das empresas que compõem o </w:t>
      </w:r>
      <w:r w:rsidRPr="00F125C5">
        <w:rPr>
          <w:rFonts w:ascii="Arial" w:hAnsi="Arial" w:cs="Arial"/>
          <w:b/>
        </w:rPr>
        <w:t xml:space="preserve">Grupo </w:t>
      </w:r>
      <w:proofErr w:type="spellStart"/>
      <w:r w:rsidRPr="00F125C5">
        <w:rPr>
          <w:rFonts w:ascii="Arial" w:hAnsi="Arial" w:cs="Arial"/>
          <w:b/>
        </w:rPr>
        <w:t>Raízen</w:t>
      </w:r>
      <w:proofErr w:type="spellEnd"/>
      <w:r w:rsidRPr="00F125C5">
        <w:rPr>
          <w:rFonts w:ascii="Arial" w:hAnsi="Arial" w:cs="Arial"/>
          <w:b/>
        </w:rPr>
        <w:t xml:space="preserve"> </w:t>
      </w:r>
      <w:r w:rsidRPr="00F125C5">
        <w:rPr>
          <w:rFonts w:ascii="Arial" w:hAnsi="Arial" w:cs="Arial"/>
        </w:rPr>
        <w:t xml:space="preserve">– leia-se, </w:t>
      </w:r>
      <w:proofErr w:type="spellStart"/>
      <w:r w:rsidRPr="00F125C5">
        <w:rPr>
          <w:rFonts w:ascii="Arial" w:hAnsi="Arial" w:cs="Arial"/>
        </w:rPr>
        <w:t>Raízen</w:t>
      </w:r>
      <w:proofErr w:type="spellEnd"/>
      <w:r w:rsidRPr="00F125C5">
        <w:rPr>
          <w:rFonts w:ascii="Arial" w:hAnsi="Arial" w:cs="Arial"/>
        </w:rPr>
        <w:t xml:space="preserve"> Combustíveis S.A., </w:t>
      </w:r>
      <w:proofErr w:type="spellStart"/>
      <w:r w:rsidRPr="00F125C5">
        <w:rPr>
          <w:rFonts w:ascii="Arial" w:hAnsi="Arial" w:cs="Arial"/>
        </w:rPr>
        <w:t>Raízen</w:t>
      </w:r>
      <w:proofErr w:type="spellEnd"/>
      <w:r w:rsidRPr="00F125C5">
        <w:rPr>
          <w:rFonts w:ascii="Arial" w:hAnsi="Arial" w:cs="Arial"/>
        </w:rPr>
        <w:t xml:space="preserve"> Energia S.A. e suas respectivas </w:t>
      </w:r>
      <w:r w:rsidR="00CD6CD9" w:rsidRPr="00F125C5">
        <w:rPr>
          <w:rFonts w:ascii="Arial" w:hAnsi="Arial" w:cs="Arial"/>
        </w:rPr>
        <w:t xml:space="preserve">controladas </w:t>
      </w:r>
      <w:r w:rsidRPr="00F125C5">
        <w:rPr>
          <w:rFonts w:ascii="Arial" w:hAnsi="Arial" w:cs="Arial"/>
        </w:rPr>
        <w:t>–, sendo desautorizada qualquer interpretação ou entendimento em sentido diverso.</w:t>
      </w:r>
    </w:p>
    <w:p w14:paraId="54516058" w14:textId="77777777" w:rsidR="00807CD4" w:rsidRPr="00F125C5" w:rsidRDefault="00807CD4" w:rsidP="004A1993">
      <w:pPr>
        <w:spacing w:after="0" w:line="360" w:lineRule="auto"/>
        <w:ind w:firstLine="708"/>
        <w:jc w:val="both"/>
        <w:rPr>
          <w:rFonts w:ascii="Arial" w:hAnsi="Arial" w:cs="Arial"/>
        </w:rPr>
      </w:pPr>
    </w:p>
    <w:p w14:paraId="16F9EAEC" w14:textId="7C4AD26B" w:rsidR="008D1807" w:rsidRPr="00F125C5" w:rsidRDefault="00A64701" w:rsidP="008D1807">
      <w:pPr>
        <w:spacing w:after="0" w:line="360" w:lineRule="auto"/>
        <w:rPr>
          <w:rFonts w:ascii="Arial" w:hAnsi="Arial" w:cs="Arial"/>
          <w:b/>
        </w:rPr>
      </w:pPr>
      <w:r w:rsidRPr="00F125C5">
        <w:rPr>
          <w:rFonts w:ascii="Arial" w:hAnsi="Arial" w:cs="Arial"/>
          <w:b/>
        </w:rPr>
        <w:t xml:space="preserve">INTRODUÇÃO </w:t>
      </w:r>
    </w:p>
    <w:p w14:paraId="5D7750C0" w14:textId="20EA9017" w:rsidR="00A64701" w:rsidRPr="00F125C5" w:rsidRDefault="00A64701" w:rsidP="008D1807">
      <w:pPr>
        <w:spacing w:after="0" w:line="360" w:lineRule="auto"/>
        <w:rPr>
          <w:rFonts w:ascii="Arial" w:hAnsi="Arial" w:cs="Arial"/>
          <w:b/>
        </w:rPr>
      </w:pPr>
    </w:p>
    <w:p w14:paraId="5952CD55" w14:textId="4E6C40DE" w:rsidR="00DD477E" w:rsidRPr="00F125C5" w:rsidRDefault="00BF56A6" w:rsidP="005573AA">
      <w:pPr>
        <w:spacing w:after="0" w:line="360" w:lineRule="auto"/>
        <w:jc w:val="both"/>
        <w:rPr>
          <w:rFonts w:ascii="Arial" w:hAnsi="Arial" w:cs="Arial"/>
        </w:rPr>
      </w:pPr>
      <w:r w:rsidRPr="00F125C5">
        <w:rPr>
          <w:rFonts w:ascii="Arial" w:hAnsi="Arial" w:cs="Arial"/>
        </w:rPr>
        <w:tab/>
      </w:r>
      <w:r w:rsidR="00DA514A" w:rsidRPr="00F125C5">
        <w:rPr>
          <w:rFonts w:ascii="Arial" w:hAnsi="Arial" w:cs="Arial"/>
        </w:rPr>
        <w:t xml:space="preserve">Inicialmente, importante ressaltar que, conforme </w:t>
      </w:r>
      <w:r w:rsidR="00B92C5D" w:rsidRPr="00F125C5">
        <w:rPr>
          <w:rFonts w:ascii="Arial" w:hAnsi="Arial" w:cs="Arial"/>
        </w:rPr>
        <w:t>se depreende d</w:t>
      </w:r>
      <w:r w:rsidR="00DA514A" w:rsidRPr="00F125C5">
        <w:rPr>
          <w:rFonts w:ascii="Arial" w:hAnsi="Arial" w:cs="Arial"/>
        </w:rPr>
        <w:t>a leitura das questões sugeridas pela agência para orientar as reflexões e as contribuições do público</w:t>
      </w:r>
      <w:r w:rsidR="00DA514A" w:rsidRPr="00F125C5">
        <w:rPr>
          <w:rStyle w:val="Refdenotaderodap"/>
          <w:rFonts w:ascii="Arial" w:hAnsi="Arial" w:cs="Arial"/>
        </w:rPr>
        <w:footnoteReference w:id="3"/>
      </w:r>
      <w:r w:rsidR="00B92C5D" w:rsidRPr="00F125C5">
        <w:rPr>
          <w:rFonts w:ascii="Arial" w:hAnsi="Arial" w:cs="Arial"/>
        </w:rPr>
        <w:t>, na verdade são 3 os temas colocados para debate pela TPC nº 3/2018</w:t>
      </w:r>
      <w:r w:rsidR="00DA514A" w:rsidRPr="00F125C5">
        <w:rPr>
          <w:rFonts w:ascii="Arial" w:hAnsi="Arial" w:cs="Arial"/>
        </w:rPr>
        <w:t xml:space="preserve">: </w:t>
      </w:r>
      <w:r w:rsidR="005A4D9A" w:rsidRPr="00F125C5">
        <w:rPr>
          <w:rFonts w:ascii="Arial" w:hAnsi="Arial" w:cs="Arial"/>
        </w:rPr>
        <w:t>a</w:t>
      </w:r>
      <w:r w:rsidR="00DA514A" w:rsidRPr="00F125C5">
        <w:rPr>
          <w:rFonts w:ascii="Arial" w:hAnsi="Arial" w:cs="Arial"/>
        </w:rPr>
        <w:t>lém</w:t>
      </w:r>
      <w:r w:rsidR="005A4D9A" w:rsidRPr="00F125C5">
        <w:rPr>
          <w:rFonts w:ascii="Arial" w:hAnsi="Arial" w:cs="Arial"/>
        </w:rPr>
        <w:t xml:space="preserve"> </w:t>
      </w:r>
      <w:r w:rsidR="00DA514A" w:rsidRPr="00F125C5">
        <w:rPr>
          <w:rFonts w:ascii="Arial" w:hAnsi="Arial" w:cs="Arial"/>
        </w:rPr>
        <w:t xml:space="preserve">da conveniência de revisão das regras de verticalização propriamente ditas, </w:t>
      </w:r>
      <w:r w:rsidR="005A4D9A" w:rsidRPr="00F125C5">
        <w:rPr>
          <w:rFonts w:ascii="Arial" w:hAnsi="Arial" w:cs="Arial"/>
        </w:rPr>
        <w:t xml:space="preserve">a agência </w:t>
      </w:r>
      <w:r w:rsidR="00DA514A" w:rsidRPr="00F125C5">
        <w:rPr>
          <w:rFonts w:ascii="Arial" w:hAnsi="Arial" w:cs="Arial"/>
        </w:rPr>
        <w:t>também</w:t>
      </w:r>
      <w:r w:rsidR="00B92C5D" w:rsidRPr="00F125C5">
        <w:rPr>
          <w:rFonts w:ascii="Arial" w:hAnsi="Arial" w:cs="Arial"/>
        </w:rPr>
        <w:t xml:space="preserve"> pretende que o público se manifeste sobre a</w:t>
      </w:r>
      <w:r w:rsidR="00DA514A" w:rsidRPr="00F125C5">
        <w:rPr>
          <w:rFonts w:ascii="Arial" w:hAnsi="Arial" w:cs="Arial"/>
        </w:rPr>
        <w:t xml:space="preserve"> potencial</w:t>
      </w:r>
      <w:r w:rsidR="00B92C5D" w:rsidRPr="00F125C5">
        <w:rPr>
          <w:rFonts w:ascii="Arial" w:hAnsi="Arial" w:cs="Arial"/>
        </w:rPr>
        <w:t xml:space="preserve"> ampliação da</w:t>
      </w:r>
      <w:r w:rsidR="00DA514A" w:rsidRPr="00F125C5">
        <w:rPr>
          <w:rFonts w:ascii="Arial" w:hAnsi="Arial" w:cs="Arial"/>
        </w:rPr>
        <w:t xml:space="preserve"> autorização de venda direta </w:t>
      </w:r>
      <w:r w:rsidR="00B92C5D" w:rsidRPr="00F125C5">
        <w:rPr>
          <w:rFonts w:ascii="Arial" w:hAnsi="Arial" w:cs="Arial"/>
        </w:rPr>
        <w:t xml:space="preserve">para além do que já foi sugerido pela TPC nº 2/2018 – que colocou em discussão a possibilidade de venda direta apenas do etanol – e, por fim, sobre a conveniência de se rever as regras que definem o escopo de atuação dos Transportadores Revendedores Retalhistas – </w:t>
      </w:r>
      <w:proofErr w:type="spellStart"/>
      <w:r w:rsidR="00B92C5D" w:rsidRPr="00F125C5">
        <w:rPr>
          <w:rFonts w:ascii="Arial" w:hAnsi="Arial" w:cs="Arial"/>
        </w:rPr>
        <w:t>TRRs</w:t>
      </w:r>
      <w:proofErr w:type="spellEnd"/>
      <w:r w:rsidR="00B92C5D" w:rsidRPr="00F125C5">
        <w:rPr>
          <w:rFonts w:ascii="Arial" w:hAnsi="Arial" w:cs="Arial"/>
        </w:rPr>
        <w:t>. Embora os assuntos propostos guardem relaç</w:t>
      </w:r>
      <w:r w:rsidR="00DD477E" w:rsidRPr="00F125C5">
        <w:rPr>
          <w:rFonts w:ascii="Arial" w:hAnsi="Arial" w:cs="Arial"/>
        </w:rPr>
        <w:t xml:space="preserve">ão entre si, é certo que os efeitos que podem </w:t>
      </w:r>
      <w:r w:rsidR="006030F3" w:rsidRPr="00F125C5">
        <w:rPr>
          <w:rFonts w:ascii="Arial" w:hAnsi="Arial" w:cs="Arial"/>
        </w:rPr>
        <w:t xml:space="preserve">advir da implementação de cada uma destas sugestões </w:t>
      </w:r>
      <w:r w:rsidR="00DD477E" w:rsidRPr="00F125C5">
        <w:rPr>
          <w:rFonts w:ascii="Arial" w:hAnsi="Arial" w:cs="Arial"/>
        </w:rPr>
        <w:t xml:space="preserve">são diversos e, como tal, merecem análise específica. É com este pressuposto em vista que faremos nossas contribuições. </w:t>
      </w:r>
    </w:p>
    <w:p w14:paraId="6B6287B5" w14:textId="1F867EBA" w:rsidR="005366D0" w:rsidRPr="00F125C5" w:rsidRDefault="00DD477E" w:rsidP="003E47DB">
      <w:pPr>
        <w:spacing w:after="0" w:line="360" w:lineRule="auto"/>
        <w:ind w:firstLine="709"/>
        <w:jc w:val="both"/>
        <w:rPr>
          <w:rFonts w:ascii="Arial" w:hAnsi="Arial" w:cs="Arial"/>
        </w:rPr>
      </w:pPr>
      <w:r w:rsidRPr="00F125C5">
        <w:rPr>
          <w:rFonts w:ascii="Arial" w:hAnsi="Arial" w:cs="Arial"/>
        </w:rPr>
        <w:t>De toda forma, sobre a verticalização propriamente dita, é certo que atualmente, n</w:t>
      </w:r>
      <w:r w:rsidR="001D5F33" w:rsidRPr="00F125C5">
        <w:rPr>
          <w:rFonts w:ascii="Arial" w:hAnsi="Arial" w:cs="Arial"/>
        </w:rPr>
        <w:t xml:space="preserve">o Brasil, </w:t>
      </w:r>
      <w:r w:rsidR="0031677C" w:rsidRPr="00F125C5">
        <w:rPr>
          <w:rFonts w:ascii="Arial" w:hAnsi="Arial" w:cs="Arial"/>
        </w:rPr>
        <w:t>distribuidoras</w:t>
      </w:r>
      <w:r w:rsidR="00BD350C" w:rsidRPr="00F125C5">
        <w:rPr>
          <w:rFonts w:ascii="Arial" w:hAnsi="Arial" w:cs="Arial"/>
        </w:rPr>
        <w:t xml:space="preserve"> de combustíveis são proibidas de possuírem </w:t>
      </w:r>
      <w:r w:rsidR="0031677C" w:rsidRPr="00F125C5">
        <w:rPr>
          <w:rFonts w:ascii="Arial" w:hAnsi="Arial" w:cs="Arial"/>
        </w:rPr>
        <w:t>postos revendedores de combustíveis</w:t>
      </w:r>
      <w:r w:rsidR="008C5B17" w:rsidRPr="00F125C5">
        <w:rPr>
          <w:rFonts w:ascii="Arial" w:hAnsi="Arial" w:cs="Arial"/>
        </w:rPr>
        <w:t xml:space="preserve"> automotivos</w:t>
      </w:r>
      <w:r w:rsidR="003E1075" w:rsidRPr="00F125C5">
        <w:rPr>
          <w:rFonts w:ascii="Arial" w:hAnsi="Arial" w:cs="Arial"/>
        </w:rPr>
        <w:t xml:space="preserve">. </w:t>
      </w:r>
      <w:r w:rsidR="005366D0" w:rsidRPr="00F125C5">
        <w:rPr>
          <w:rFonts w:ascii="Arial" w:hAnsi="Arial" w:cs="Arial"/>
        </w:rPr>
        <w:t>Por meio da Resolução nº 41/2013 (alterada pela</w:t>
      </w:r>
      <w:r w:rsidR="00646318" w:rsidRPr="00F125C5">
        <w:rPr>
          <w:rFonts w:ascii="Arial" w:hAnsi="Arial" w:cs="Arial"/>
        </w:rPr>
        <w:t>s</w:t>
      </w:r>
      <w:r w:rsidR="005366D0" w:rsidRPr="00F125C5">
        <w:rPr>
          <w:rFonts w:ascii="Arial" w:hAnsi="Arial" w:cs="Arial"/>
        </w:rPr>
        <w:t xml:space="preserve"> Resoluç</w:t>
      </w:r>
      <w:r w:rsidR="00646318" w:rsidRPr="00F125C5">
        <w:rPr>
          <w:rFonts w:ascii="Arial" w:hAnsi="Arial" w:cs="Arial"/>
        </w:rPr>
        <w:t>ões</w:t>
      </w:r>
      <w:r w:rsidR="005366D0" w:rsidRPr="00F125C5">
        <w:rPr>
          <w:rFonts w:ascii="Arial" w:hAnsi="Arial" w:cs="Arial"/>
        </w:rPr>
        <w:t xml:space="preserve"> ANP nº 57/2014</w:t>
      </w:r>
      <w:r w:rsidR="00646318" w:rsidRPr="00F125C5">
        <w:rPr>
          <w:rFonts w:ascii="Arial" w:hAnsi="Arial" w:cs="Arial"/>
        </w:rPr>
        <w:t xml:space="preserve"> e </w:t>
      </w:r>
      <w:r w:rsidR="00653BBD" w:rsidRPr="00F125C5">
        <w:rPr>
          <w:rFonts w:ascii="Arial" w:hAnsi="Arial" w:cs="Arial"/>
        </w:rPr>
        <w:t>nº 09/2016</w:t>
      </w:r>
      <w:r w:rsidR="005366D0" w:rsidRPr="00F125C5">
        <w:rPr>
          <w:rFonts w:ascii="Arial" w:hAnsi="Arial" w:cs="Arial"/>
        </w:rPr>
        <w:t>), que regulamenta a revenda varejista de combustíveis automotivos, estipula-se que, além da vedação ao exercício da atividade de revenda</w:t>
      </w:r>
      <w:r w:rsidR="007551DB" w:rsidRPr="00F125C5">
        <w:rPr>
          <w:rFonts w:ascii="Arial" w:hAnsi="Arial" w:cs="Arial"/>
        </w:rPr>
        <w:t xml:space="preserve"> por distribuidores</w:t>
      </w:r>
      <w:r w:rsidR="005366D0" w:rsidRPr="00F125C5">
        <w:rPr>
          <w:rFonts w:ascii="Arial" w:hAnsi="Arial" w:cs="Arial"/>
        </w:rPr>
        <w:t>, o distribuidor de combustíveis também não pode participar do quadro de sócios dos revendedores varejistas de combustíveis automotivos autorizados pela ANP, com exceção dos postos escola.</w:t>
      </w:r>
      <w:r w:rsidR="005366D0" w:rsidRPr="00F125C5">
        <w:rPr>
          <w:rStyle w:val="Refdenotaderodap"/>
          <w:rFonts w:ascii="Arial" w:hAnsi="Arial" w:cs="Arial"/>
        </w:rPr>
        <w:footnoteReference w:id="4"/>
      </w:r>
      <w:r w:rsidR="005366D0" w:rsidRPr="00F125C5">
        <w:rPr>
          <w:rFonts w:ascii="Arial" w:hAnsi="Arial" w:cs="Arial"/>
        </w:rPr>
        <w:t xml:space="preserve">  </w:t>
      </w:r>
    </w:p>
    <w:p w14:paraId="2A446527" w14:textId="2A015BA4" w:rsidR="002B0F24" w:rsidRPr="00F125C5" w:rsidRDefault="0022671D" w:rsidP="005573AA">
      <w:pPr>
        <w:spacing w:after="0" w:line="360" w:lineRule="auto"/>
        <w:ind w:firstLine="708"/>
        <w:jc w:val="both"/>
        <w:rPr>
          <w:rFonts w:ascii="Arial" w:hAnsi="Arial" w:cs="Arial"/>
        </w:rPr>
      </w:pPr>
      <w:r w:rsidRPr="00F125C5">
        <w:rPr>
          <w:rFonts w:ascii="Arial" w:hAnsi="Arial" w:cs="Arial"/>
        </w:rPr>
        <w:t xml:space="preserve">No mesmo sentido, a </w:t>
      </w:r>
      <w:r w:rsidR="00603677" w:rsidRPr="00F125C5">
        <w:rPr>
          <w:rFonts w:ascii="Arial" w:hAnsi="Arial" w:cs="Arial"/>
        </w:rPr>
        <w:t xml:space="preserve">Resolução nº </w:t>
      </w:r>
      <w:r w:rsidR="004D6ACC" w:rsidRPr="00F125C5">
        <w:rPr>
          <w:rFonts w:ascii="Arial" w:hAnsi="Arial" w:cs="Arial"/>
        </w:rPr>
        <w:t>58</w:t>
      </w:r>
      <w:r w:rsidR="00603677" w:rsidRPr="00F125C5">
        <w:rPr>
          <w:rFonts w:ascii="Arial" w:hAnsi="Arial" w:cs="Arial"/>
        </w:rPr>
        <w:t>/201</w:t>
      </w:r>
      <w:r w:rsidR="007335B8" w:rsidRPr="00F125C5">
        <w:rPr>
          <w:rFonts w:ascii="Arial" w:hAnsi="Arial" w:cs="Arial"/>
        </w:rPr>
        <w:t>4</w:t>
      </w:r>
      <w:r w:rsidR="00603677" w:rsidRPr="00F125C5">
        <w:rPr>
          <w:rFonts w:ascii="Arial" w:hAnsi="Arial" w:cs="Arial"/>
        </w:rPr>
        <w:t xml:space="preserve">, que </w:t>
      </w:r>
      <w:r w:rsidR="007335B8" w:rsidRPr="00F125C5">
        <w:rPr>
          <w:rFonts w:ascii="Arial" w:hAnsi="Arial" w:cs="Arial"/>
        </w:rPr>
        <w:t xml:space="preserve">regulamenta </w:t>
      </w:r>
      <w:r w:rsidR="00386FB9" w:rsidRPr="00F125C5">
        <w:rPr>
          <w:rFonts w:ascii="Arial" w:hAnsi="Arial" w:cs="Arial"/>
        </w:rPr>
        <w:t>o exercício da</w:t>
      </w:r>
      <w:r w:rsidR="007335B8" w:rsidRPr="00F125C5">
        <w:rPr>
          <w:rFonts w:ascii="Arial" w:hAnsi="Arial" w:cs="Arial"/>
        </w:rPr>
        <w:t xml:space="preserve"> atividade de distribuição de combustíveis líquidos </w:t>
      </w:r>
      <w:r w:rsidR="00C725C8" w:rsidRPr="00F125C5">
        <w:rPr>
          <w:rFonts w:ascii="Arial" w:hAnsi="Arial" w:cs="Arial"/>
        </w:rPr>
        <w:t>veda</w:t>
      </w:r>
      <w:r w:rsidR="004A2CB6" w:rsidRPr="00F125C5">
        <w:rPr>
          <w:rFonts w:ascii="Arial" w:hAnsi="Arial" w:cs="Arial"/>
        </w:rPr>
        <w:t xml:space="preserve">, </w:t>
      </w:r>
      <w:r w:rsidR="00C725C8" w:rsidRPr="00F125C5">
        <w:rPr>
          <w:rFonts w:ascii="Arial" w:hAnsi="Arial" w:cs="Arial"/>
        </w:rPr>
        <w:t>por meio de</w:t>
      </w:r>
      <w:r w:rsidR="008D0239" w:rsidRPr="00F125C5">
        <w:rPr>
          <w:rFonts w:ascii="Arial" w:hAnsi="Arial" w:cs="Arial"/>
        </w:rPr>
        <w:t xml:space="preserve"> seu</w:t>
      </w:r>
      <w:r w:rsidR="004A2CB6" w:rsidRPr="00F125C5">
        <w:rPr>
          <w:rFonts w:ascii="Arial" w:hAnsi="Arial" w:cs="Arial"/>
        </w:rPr>
        <w:t xml:space="preserve"> artigo </w:t>
      </w:r>
      <w:r w:rsidR="00C725C8" w:rsidRPr="00F125C5">
        <w:rPr>
          <w:rFonts w:ascii="Arial" w:hAnsi="Arial" w:cs="Arial"/>
        </w:rPr>
        <w:t>33</w:t>
      </w:r>
      <w:r w:rsidR="004A2CB6" w:rsidRPr="00F125C5">
        <w:rPr>
          <w:rFonts w:ascii="Arial" w:hAnsi="Arial" w:cs="Arial"/>
        </w:rPr>
        <w:t xml:space="preserve">, </w:t>
      </w:r>
      <w:r w:rsidR="003E1075" w:rsidRPr="00F125C5">
        <w:rPr>
          <w:rFonts w:ascii="Arial" w:hAnsi="Arial" w:cs="Arial"/>
        </w:rPr>
        <w:t>que</w:t>
      </w:r>
      <w:r w:rsidR="00692CE5" w:rsidRPr="00F125C5">
        <w:rPr>
          <w:rFonts w:ascii="Arial" w:hAnsi="Arial" w:cs="Arial"/>
        </w:rPr>
        <w:t xml:space="preserve"> </w:t>
      </w:r>
      <w:r w:rsidR="00692CE5" w:rsidRPr="00F125C5">
        <w:rPr>
          <w:rFonts w:ascii="Arial" w:hAnsi="Arial" w:cs="Arial"/>
        </w:rPr>
        <w:lastRenderedPageBreak/>
        <w:t>o distribuidor de combustíveis líquidos exerça a</w:t>
      </w:r>
      <w:r w:rsidR="00DE53A0" w:rsidRPr="00F125C5">
        <w:rPr>
          <w:rFonts w:ascii="Arial" w:hAnsi="Arial" w:cs="Arial"/>
        </w:rPr>
        <w:t xml:space="preserve"> atividade de transportador </w:t>
      </w:r>
      <w:r w:rsidR="00AA2E3D" w:rsidRPr="00F125C5">
        <w:rPr>
          <w:rFonts w:ascii="Arial" w:hAnsi="Arial" w:cs="Arial"/>
        </w:rPr>
        <w:t xml:space="preserve">revendedor </w:t>
      </w:r>
      <w:r w:rsidR="00DE53A0" w:rsidRPr="00F125C5">
        <w:rPr>
          <w:rFonts w:ascii="Arial" w:hAnsi="Arial" w:cs="Arial"/>
        </w:rPr>
        <w:t xml:space="preserve">retalhista </w:t>
      </w:r>
      <w:r w:rsidR="00AA2E3D" w:rsidRPr="00F125C5">
        <w:rPr>
          <w:rFonts w:ascii="Arial" w:hAnsi="Arial" w:cs="Arial"/>
        </w:rPr>
        <w:t xml:space="preserve">(TRR) </w:t>
      </w:r>
      <w:r w:rsidR="00DE53A0" w:rsidRPr="00F125C5">
        <w:rPr>
          <w:rFonts w:ascii="Arial" w:hAnsi="Arial" w:cs="Arial"/>
        </w:rPr>
        <w:t>e de revenda varejista de combustíveis automotivos.</w:t>
      </w:r>
      <w:r w:rsidR="00DE53A0" w:rsidRPr="00F125C5">
        <w:rPr>
          <w:rStyle w:val="Refdenotaderodap"/>
          <w:rFonts w:ascii="Arial" w:hAnsi="Arial" w:cs="Arial"/>
        </w:rPr>
        <w:footnoteReference w:id="5"/>
      </w:r>
      <w:r w:rsidR="002B0F24" w:rsidRPr="00F125C5">
        <w:rPr>
          <w:rFonts w:ascii="Arial" w:hAnsi="Arial" w:cs="Arial"/>
        </w:rPr>
        <w:t xml:space="preserve"> A mesma Resolução prevê</w:t>
      </w:r>
      <w:r w:rsidR="004D301F" w:rsidRPr="00F125C5">
        <w:rPr>
          <w:rFonts w:ascii="Arial" w:hAnsi="Arial" w:cs="Arial"/>
        </w:rPr>
        <w:t xml:space="preserve">, ainda, </w:t>
      </w:r>
      <w:r w:rsidR="002B0F24" w:rsidRPr="00F125C5">
        <w:rPr>
          <w:rFonts w:ascii="Arial" w:hAnsi="Arial" w:cs="Arial"/>
        </w:rPr>
        <w:t>que</w:t>
      </w:r>
      <w:r w:rsidR="001D2323" w:rsidRPr="00F125C5">
        <w:rPr>
          <w:rFonts w:ascii="Arial" w:hAnsi="Arial" w:cs="Arial"/>
        </w:rPr>
        <w:t xml:space="preserve"> </w:t>
      </w:r>
      <w:r w:rsidR="002B0F24" w:rsidRPr="00F125C5">
        <w:rPr>
          <w:rFonts w:ascii="Arial" w:hAnsi="Arial" w:cs="Arial"/>
        </w:rPr>
        <w:t>não ser</w:t>
      </w:r>
      <w:r w:rsidR="00036108" w:rsidRPr="00F125C5">
        <w:rPr>
          <w:rFonts w:ascii="Arial" w:hAnsi="Arial" w:cs="Arial"/>
        </w:rPr>
        <w:t>ão</w:t>
      </w:r>
      <w:r w:rsidR="002B0F24" w:rsidRPr="00F125C5">
        <w:rPr>
          <w:rFonts w:ascii="Arial" w:hAnsi="Arial" w:cs="Arial"/>
        </w:rPr>
        <w:t xml:space="preserve"> autorizada</w:t>
      </w:r>
      <w:r w:rsidR="00036108" w:rsidRPr="00F125C5">
        <w:rPr>
          <w:rFonts w:ascii="Arial" w:hAnsi="Arial" w:cs="Arial"/>
        </w:rPr>
        <w:t>s</w:t>
      </w:r>
      <w:r w:rsidR="002B0F24" w:rsidRPr="00F125C5">
        <w:rPr>
          <w:rFonts w:ascii="Arial" w:hAnsi="Arial" w:cs="Arial"/>
        </w:rPr>
        <w:t xml:space="preserve"> para o exercício da atividade de distribuição as empresas de cujo quadro de sócios participe pessoa jurídica que seja autorizada pela ANP à atividade de TRR (Transportador-Revendedor-Retalhista), TRRNI (Transportador-Revendedor-Retalhista na Navegação Interior) ou de revenda varejista de combustíveis automotivos</w:t>
      </w:r>
      <w:r w:rsidR="00562255" w:rsidRPr="00F125C5">
        <w:rPr>
          <w:rStyle w:val="Refdenotaderodap"/>
          <w:rFonts w:ascii="Arial" w:hAnsi="Arial" w:cs="Arial"/>
        </w:rPr>
        <w:footnoteReference w:id="6"/>
      </w:r>
      <w:r w:rsidR="006030F3" w:rsidRPr="00F125C5">
        <w:rPr>
          <w:rFonts w:ascii="Arial" w:hAnsi="Arial" w:cs="Arial"/>
        </w:rPr>
        <w:t>.</w:t>
      </w:r>
    </w:p>
    <w:p w14:paraId="5F8D2849" w14:textId="792CDB1B" w:rsidR="003441A3" w:rsidRPr="00F125C5" w:rsidRDefault="003441A3" w:rsidP="00A607E5">
      <w:pPr>
        <w:spacing w:after="0" w:line="360" w:lineRule="auto"/>
        <w:jc w:val="both"/>
        <w:rPr>
          <w:rFonts w:ascii="Arial" w:hAnsi="Arial" w:cs="Arial"/>
        </w:rPr>
      </w:pPr>
      <w:r w:rsidRPr="00F125C5">
        <w:rPr>
          <w:rFonts w:ascii="Arial" w:hAnsi="Arial" w:cs="Arial"/>
        </w:rPr>
        <w:tab/>
        <w:t xml:space="preserve">A </w:t>
      </w:r>
      <w:r w:rsidR="00043EBF" w:rsidRPr="00F125C5">
        <w:rPr>
          <w:rFonts w:ascii="Arial" w:hAnsi="Arial" w:cs="Arial"/>
        </w:rPr>
        <w:t xml:space="preserve">regulação vigente, portanto, nega </w:t>
      </w:r>
      <w:r w:rsidR="0036749E" w:rsidRPr="00F125C5">
        <w:rPr>
          <w:rFonts w:ascii="Arial" w:hAnsi="Arial" w:cs="Arial"/>
        </w:rPr>
        <w:t>a</w:t>
      </w:r>
      <w:r w:rsidR="00043EBF" w:rsidRPr="00F125C5">
        <w:rPr>
          <w:rFonts w:ascii="Arial" w:hAnsi="Arial" w:cs="Arial"/>
        </w:rPr>
        <w:t xml:space="preserve"> integração vertical entre </w:t>
      </w:r>
      <w:r w:rsidR="005A147F" w:rsidRPr="00F125C5">
        <w:rPr>
          <w:rFonts w:ascii="Arial" w:hAnsi="Arial" w:cs="Arial"/>
        </w:rPr>
        <w:t xml:space="preserve">o elo da distribuição e da revenda de combustíveis. </w:t>
      </w:r>
      <w:r w:rsidR="00F031D0" w:rsidRPr="00F125C5">
        <w:rPr>
          <w:rFonts w:ascii="Arial" w:hAnsi="Arial" w:cs="Arial"/>
        </w:rPr>
        <w:t>Não obstante, o</w:t>
      </w:r>
      <w:r w:rsidR="003531AD" w:rsidRPr="00F125C5">
        <w:rPr>
          <w:rFonts w:ascii="Arial" w:hAnsi="Arial" w:cs="Arial"/>
        </w:rPr>
        <w:t>utros tipos de integração encontram respaldo nas normas atualmente vigentes, como os contratos de exclusi</w:t>
      </w:r>
      <w:r w:rsidR="00E5249D" w:rsidRPr="00F125C5">
        <w:rPr>
          <w:rFonts w:ascii="Arial" w:hAnsi="Arial" w:cs="Arial"/>
        </w:rPr>
        <w:t xml:space="preserve">vidade entre distribuidoras e postos </w:t>
      </w:r>
      <w:r w:rsidR="005831FE" w:rsidRPr="00F125C5">
        <w:rPr>
          <w:rFonts w:ascii="Arial" w:hAnsi="Arial" w:cs="Arial"/>
        </w:rPr>
        <w:t xml:space="preserve">que ostentam marca comercial </w:t>
      </w:r>
      <w:r w:rsidR="00BE24F2" w:rsidRPr="00F125C5">
        <w:rPr>
          <w:rFonts w:ascii="Arial" w:hAnsi="Arial" w:cs="Arial"/>
        </w:rPr>
        <w:t>de uma distribuidora</w:t>
      </w:r>
      <w:r w:rsidR="0036749E" w:rsidRPr="00F125C5">
        <w:rPr>
          <w:rFonts w:ascii="Arial" w:hAnsi="Arial" w:cs="Arial"/>
        </w:rPr>
        <w:t xml:space="preserve"> </w:t>
      </w:r>
      <w:r w:rsidR="00062DCB" w:rsidRPr="00F125C5">
        <w:rPr>
          <w:rFonts w:ascii="Arial" w:hAnsi="Arial" w:cs="Arial"/>
        </w:rPr>
        <w:t>(</w:t>
      </w:r>
      <w:r w:rsidR="007E579D" w:rsidRPr="00F125C5">
        <w:rPr>
          <w:rFonts w:ascii="Arial" w:hAnsi="Arial" w:cs="Arial"/>
        </w:rPr>
        <w:t xml:space="preserve">Resolução ANP </w:t>
      </w:r>
      <w:r w:rsidR="003C2607" w:rsidRPr="00F125C5">
        <w:rPr>
          <w:rFonts w:ascii="Arial" w:hAnsi="Arial" w:cs="Arial"/>
        </w:rPr>
        <w:t xml:space="preserve">nº </w:t>
      </w:r>
      <w:r w:rsidR="007E579D" w:rsidRPr="00F125C5">
        <w:rPr>
          <w:rFonts w:ascii="Arial" w:hAnsi="Arial" w:cs="Arial"/>
        </w:rPr>
        <w:t>41</w:t>
      </w:r>
      <w:r w:rsidR="003C2607" w:rsidRPr="00F125C5">
        <w:rPr>
          <w:rFonts w:ascii="Arial" w:hAnsi="Arial" w:cs="Arial"/>
        </w:rPr>
        <w:t>/</w:t>
      </w:r>
      <w:r w:rsidR="007E579D" w:rsidRPr="00F125C5">
        <w:rPr>
          <w:rFonts w:ascii="Arial" w:hAnsi="Arial" w:cs="Arial"/>
        </w:rPr>
        <w:t>2013</w:t>
      </w:r>
      <w:r w:rsidR="00D83851" w:rsidRPr="00F125C5">
        <w:rPr>
          <w:rFonts w:ascii="Arial" w:hAnsi="Arial" w:cs="Arial"/>
        </w:rPr>
        <w:t xml:space="preserve">, </w:t>
      </w:r>
      <w:r w:rsidR="008D356B" w:rsidRPr="00F125C5">
        <w:rPr>
          <w:rFonts w:ascii="Arial" w:hAnsi="Arial" w:cs="Arial"/>
        </w:rPr>
        <w:t xml:space="preserve">art. </w:t>
      </w:r>
      <w:r w:rsidR="007E579D" w:rsidRPr="00F125C5">
        <w:rPr>
          <w:rFonts w:ascii="Arial" w:hAnsi="Arial" w:cs="Arial"/>
        </w:rPr>
        <w:t>25</w:t>
      </w:r>
      <w:r w:rsidR="008D356B" w:rsidRPr="00F125C5">
        <w:rPr>
          <w:rFonts w:ascii="Arial" w:hAnsi="Arial" w:cs="Arial"/>
        </w:rPr>
        <w:t xml:space="preserve">). </w:t>
      </w:r>
    </w:p>
    <w:p w14:paraId="7BCF3659" w14:textId="48DEA55A" w:rsidR="00190399" w:rsidRPr="00F125C5" w:rsidRDefault="00190399" w:rsidP="00944CA2">
      <w:pPr>
        <w:spacing w:after="0" w:line="360" w:lineRule="auto"/>
        <w:jc w:val="both"/>
        <w:rPr>
          <w:rFonts w:ascii="Arial" w:hAnsi="Arial" w:cs="Arial"/>
        </w:rPr>
      </w:pPr>
      <w:r w:rsidRPr="00F125C5">
        <w:rPr>
          <w:rFonts w:ascii="Arial" w:hAnsi="Arial" w:cs="Arial"/>
        </w:rPr>
        <w:tab/>
      </w:r>
      <w:r w:rsidR="00B94C2F" w:rsidRPr="00F125C5">
        <w:rPr>
          <w:rFonts w:ascii="Arial" w:hAnsi="Arial" w:cs="Arial"/>
        </w:rPr>
        <w:t>Além d</w:t>
      </w:r>
      <w:r w:rsidR="007527B1" w:rsidRPr="00F125C5">
        <w:rPr>
          <w:rFonts w:ascii="Arial" w:hAnsi="Arial" w:cs="Arial"/>
        </w:rPr>
        <w:t>esta</w:t>
      </w:r>
      <w:r w:rsidR="00B94C2F" w:rsidRPr="00F125C5">
        <w:rPr>
          <w:rFonts w:ascii="Arial" w:hAnsi="Arial" w:cs="Arial"/>
        </w:rPr>
        <w:t xml:space="preserve"> vedação </w:t>
      </w:r>
      <w:r w:rsidR="00893B8A" w:rsidRPr="00F125C5">
        <w:rPr>
          <w:rFonts w:ascii="Arial" w:hAnsi="Arial" w:cs="Arial"/>
        </w:rPr>
        <w:t>à</w:t>
      </w:r>
      <w:r w:rsidR="00B94C2F" w:rsidRPr="00F125C5">
        <w:rPr>
          <w:rFonts w:ascii="Arial" w:hAnsi="Arial" w:cs="Arial"/>
        </w:rPr>
        <w:t xml:space="preserve"> integração vertical, a </w:t>
      </w:r>
      <w:r w:rsidR="004D301F" w:rsidRPr="00F125C5">
        <w:rPr>
          <w:rFonts w:ascii="Arial" w:hAnsi="Arial" w:cs="Arial"/>
        </w:rPr>
        <w:t>regulação atual</w:t>
      </w:r>
      <w:r w:rsidR="00B94C2F" w:rsidRPr="00F125C5">
        <w:rPr>
          <w:rFonts w:ascii="Arial" w:hAnsi="Arial" w:cs="Arial"/>
        </w:rPr>
        <w:t xml:space="preserve"> também limita uma série de relações </w:t>
      </w:r>
      <w:r w:rsidR="0075119C" w:rsidRPr="00F125C5">
        <w:rPr>
          <w:rFonts w:ascii="Arial" w:hAnsi="Arial" w:cs="Arial"/>
        </w:rPr>
        <w:t xml:space="preserve">entre diferentes elos da cadeia de combustíveis e a revenda. </w:t>
      </w:r>
      <w:r w:rsidR="001F1BA6" w:rsidRPr="00F125C5">
        <w:rPr>
          <w:rFonts w:ascii="Arial" w:hAnsi="Arial" w:cs="Arial"/>
        </w:rPr>
        <w:t xml:space="preserve">Destacam-se a </w:t>
      </w:r>
      <w:r w:rsidR="007527B1" w:rsidRPr="00F125C5">
        <w:rPr>
          <w:rFonts w:ascii="Arial" w:hAnsi="Arial" w:cs="Arial"/>
        </w:rPr>
        <w:t>proibição</w:t>
      </w:r>
      <w:r w:rsidR="001F1BA6" w:rsidRPr="00F125C5">
        <w:rPr>
          <w:rFonts w:ascii="Arial" w:hAnsi="Arial" w:cs="Arial"/>
        </w:rPr>
        <w:t xml:space="preserve"> de que refinadores de petróleo comercializem </w:t>
      </w:r>
      <w:r w:rsidR="00A27709" w:rsidRPr="00F125C5">
        <w:rPr>
          <w:rFonts w:ascii="Arial" w:hAnsi="Arial" w:cs="Arial"/>
        </w:rPr>
        <w:t xml:space="preserve">diretamente com </w:t>
      </w:r>
      <w:r w:rsidR="00B74051" w:rsidRPr="00F125C5">
        <w:rPr>
          <w:rFonts w:ascii="Arial" w:hAnsi="Arial" w:cs="Arial"/>
        </w:rPr>
        <w:t>Transportadores-Revendedores-Retalhistas (</w:t>
      </w:r>
      <w:proofErr w:type="spellStart"/>
      <w:r w:rsidR="00B74051" w:rsidRPr="00F125C5">
        <w:rPr>
          <w:rFonts w:ascii="Arial" w:hAnsi="Arial" w:cs="Arial"/>
        </w:rPr>
        <w:t>TRRs</w:t>
      </w:r>
      <w:proofErr w:type="spellEnd"/>
      <w:r w:rsidR="00B74051" w:rsidRPr="00F125C5">
        <w:rPr>
          <w:rFonts w:ascii="Arial" w:hAnsi="Arial" w:cs="Arial"/>
        </w:rPr>
        <w:t xml:space="preserve">) </w:t>
      </w:r>
      <w:r w:rsidR="00580566" w:rsidRPr="00F125C5">
        <w:rPr>
          <w:rFonts w:ascii="Arial" w:hAnsi="Arial" w:cs="Arial"/>
        </w:rPr>
        <w:t>e revendedores varejistas de combustíveis, inclusive postos escola</w:t>
      </w:r>
      <w:r w:rsidR="00580566" w:rsidRPr="00F125C5">
        <w:rPr>
          <w:rStyle w:val="Refdenotaderodap"/>
          <w:rFonts w:ascii="Arial" w:hAnsi="Arial" w:cs="Arial"/>
        </w:rPr>
        <w:footnoteReference w:id="7"/>
      </w:r>
      <w:r w:rsidR="00151CED" w:rsidRPr="00F125C5">
        <w:rPr>
          <w:rFonts w:ascii="Arial" w:hAnsi="Arial" w:cs="Arial"/>
        </w:rPr>
        <w:t xml:space="preserve">; a proibição </w:t>
      </w:r>
      <w:r w:rsidR="00FD257A" w:rsidRPr="00F125C5">
        <w:rPr>
          <w:rFonts w:ascii="Arial" w:hAnsi="Arial" w:cs="Arial"/>
        </w:rPr>
        <w:t xml:space="preserve">de que </w:t>
      </w:r>
      <w:r w:rsidR="00BD3BFC" w:rsidRPr="00F125C5">
        <w:rPr>
          <w:rFonts w:ascii="Arial" w:hAnsi="Arial" w:cs="Arial"/>
        </w:rPr>
        <w:t xml:space="preserve">fornecedores de etanol (incluindo </w:t>
      </w:r>
      <w:r w:rsidR="00FD257A" w:rsidRPr="00F125C5">
        <w:rPr>
          <w:rFonts w:ascii="Arial" w:hAnsi="Arial" w:cs="Arial"/>
        </w:rPr>
        <w:t>produtores e importadores</w:t>
      </w:r>
      <w:r w:rsidR="00BD3BFC" w:rsidRPr="00F125C5">
        <w:rPr>
          <w:rFonts w:ascii="Arial" w:hAnsi="Arial" w:cs="Arial"/>
        </w:rPr>
        <w:t>) exerçam a</w:t>
      </w:r>
      <w:r w:rsidR="00775A35" w:rsidRPr="00F125C5">
        <w:rPr>
          <w:rFonts w:ascii="Arial" w:hAnsi="Arial" w:cs="Arial"/>
        </w:rPr>
        <w:t>s</w:t>
      </w:r>
      <w:r w:rsidR="00BD3BFC" w:rsidRPr="00F125C5">
        <w:rPr>
          <w:rFonts w:ascii="Arial" w:hAnsi="Arial" w:cs="Arial"/>
        </w:rPr>
        <w:t xml:space="preserve"> atividade</w:t>
      </w:r>
      <w:r w:rsidR="00775A35" w:rsidRPr="00F125C5">
        <w:rPr>
          <w:rFonts w:ascii="Arial" w:hAnsi="Arial" w:cs="Arial"/>
        </w:rPr>
        <w:t>s</w:t>
      </w:r>
      <w:r w:rsidR="00BD3BFC" w:rsidRPr="00F125C5">
        <w:rPr>
          <w:rFonts w:ascii="Arial" w:hAnsi="Arial" w:cs="Arial"/>
        </w:rPr>
        <w:t xml:space="preserve"> de</w:t>
      </w:r>
      <w:r w:rsidR="00775A35" w:rsidRPr="00F125C5">
        <w:rPr>
          <w:rFonts w:ascii="Arial" w:hAnsi="Arial" w:cs="Arial"/>
        </w:rPr>
        <w:t xml:space="preserve"> distribuição ou</w:t>
      </w:r>
      <w:r w:rsidR="00BD3BFC" w:rsidRPr="00F125C5">
        <w:rPr>
          <w:rFonts w:ascii="Arial" w:hAnsi="Arial" w:cs="Arial"/>
        </w:rPr>
        <w:t xml:space="preserve"> revenda </w:t>
      </w:r>
      <w:r w:rsidR="00775A35" w:rsidRPr="00F125C5">
        <w:rPr>
          <w:rFonts w:ascii="Arial" w:hAnsi="Arial" w:cs="Arial"/>
        </w:rPr>
        <w:t>de combustíveis</w:t>
      </w:r>
      <w:r w:rsidR="00775A35" w:rsidRPr="00F125C5">
        <w:rPr>
          <w:rStyle w:val="Refdenotaderodap"/>
          <w:rFonts w:ascii="Arial" w:hAnsi="Arial" w:cs="Arial"/>
        </w:rPr>
        <w:footnoteReference w:id="8"/>
      </w:r>
      <w:r w:rsidR="00775A35" w:rsidRPr="00F125C5">
        <w:rPr>
          <w:rFonts w:ascii="Arial" w:hAnsi="Arial" w:cs="Arial"/>
        </w:rPr>
        <w:t>;</w:t>
      </w:r>
      <w:r w:rsidR="0040089E" w:rsidRPr="00F125C5">
        <w:rPr>
          <w:rFonts w:ascii="Arial" w:hAnsi="Arial" w:cs="Arial"/>
        </w:rPr>
        <w:t xml:space="preserve"> </w:t>
      </w:r>
      <w:r w:rsidR="00757B18" w:rsidRPr="00F125C5">
        <w:rPr>
          <w:rFonts w:ascii="Arial" w:hAnsi="Arial" w:cs="Arial"/>
        </w:rPr>
        <w:t xml:space="preserve">a proibição de que importadores de gasolina </w:t>
      </w:r>
      <w:r w:rsidR="00E62074" w:rsidRPr="00F125C5">
        <w:rPr>
          <w:rFonts w:ascii="Arial" w:hAnsi="Arial" w:cs="Arial"/>
        </w:rPr>
        <w:t>comercializem o produto com revendedores</w:t>
      </w:r>
      <w:r w:rsidR="00E62074" w:rsidRPr="00F125C5">
        <w:rPr>
          <w:rStyle w:val="Refdenotaderodap"/>
          <w:rFonts w:ascii="Arial" w:hAnsi="Arial" w:cs="Arial"/>
        </w:rPr>
        <w:footnoteReference w:id="9"/>
      </w:r>
      <w:r w:rsidR="00227AB0" w:rsidRPr="00F125C5">
        <w:rPr>
          <w:rFonts w:ascii="Arial" w:hAnsi="Arial" w:cs="Arial"/>
        </w:rPr>
        <w:t>, além d</w:t>
      </w:r>
      <w:r w:rsidR="00DA04EA" w:rsidRPr="00F125C5">
        <w:rPr>
          <w:rFonts w:ascii="Arial" w:hAnsi="Arial" w:cs="Arial"/>
        </w:rPr>
        <w:t xml:space="preserve">as limitações impostas aos </w:t>
      </w:r>
      <w:r w:rsidR="00625EAB" w:rsidRPr="00F125C5">
        <w:rPr>
          <w:rFonts w:ascii="Arial" w:hAnsi="Arial" w:cs="Arial"/>
        </w:rPr>
        <w:t>Transportadores-Revendedores-Retalhistas</w:t>
      </w:r>
      <w:r w:rsidR="00625EAB" w:rsidRPr="00F125C5">
        <w:rPr>
          <w:rStyle w:val="Refdenotaderodap"/>
          <w:rFonts w:ascii="Arial" w:hAnsi="Arial" w:cs="Arial"/>
        </w:rPr>
        <w:footnoteReference w:id="10"/>
      </w:r>
      <w:r w:rsidR="0064695C" w:rsidRPr="00F125C5">
        <w:rPr>
          <w:rFonts w:ascii="Arial" w:hAnsi="Arial" w:cs="Arial"/>
        </w:rPr>
        <w:t>, sem prejuízo de inúmeras outras</w:t>
      </w:r>
      <w:r w:rsidR="00625EAB" w:rsidRPr="00F125C5">
        <w:rPr>
          <w:rFonts w:ascii="Arial" w:hAnsi="Arial" w:cs="Arial"/>
        </w:rPr>
        <w:t>.</w:t>
      </w:r>
    </w:p>
    <w:p w14:paraId="48799D56" w14:textId="5BCE4235" w:rsidR="003305F3" w:rsidRPr="00F125C5" w:rsidRDefault="003305F3">
      <w:pPr>
        <w:spacing w:after="0" w:line="360" w:lineRule="auto"/>
        <w:ind w:firstLine="708"/>
        <w:jc w:val="both"/>
        <w:rPr>
          <w:rFonts w:ascii="Arial" w:hAnsi="Arial" w:cs="Arial"/>
        </w:rPr>
      </w:pPr>
      <w:r w:rsidRPr="00F125C5">
        <w:rPr>
          <w:rFonts w:ascii="Arial" w:hAnsi="Arial" w:cs="Arial"/>
        </w:rPr>
        <w:t xml:space="preserve">A estrutura de mercado brasileira e os elementos preliminares colhidos em mercados nos quais se permite a verticalização levam a um certo ceticismo em relação aos potenciais ganhos associados </w:t>
      </w:r>
      <w:r w:rsidR="00261F38" w:rsidRPr="00F125C5">
        <w:rPr>
          <w:rFonts w:ascii="Arial" w:hAnsi="Arial" w:cs="Arial"/>
        </w:rPr>
        <w:t>à adoção de</w:t>
      </w:r>
      <w:r w:rsidRPr="00F125C5">
        <w:rPr>
          <w:rFonts w:ascii="Arial" w:hAnsi="Arial" w:cs="Arial"/>
        </w:rPr>
        <w:t xml:space="preserve"> </w:t>
      </w:r>
      <w:r w:rsidR="00261F38" w:rsidRPr="00F125C5">
        <w:rPr>
          <w:rFonts w:ascii="Arial" w:hAnsi="Arial" w:cs="Arial"/>
        </w:rPr>
        <w:t xml:space="preserve">um </w:t>
      </w:r>
      <w:r w:rsidRPr="00F125C5">
        <w:rPr>
          <w:rFonts w:ascii="Arial" w:hAnsi="Arial" w:cs="Arial"/>
        </w:rPr>
        <w:t>modelo de verticalização integral</w:t>
      </w:r>
      <w:r w:rsidR="00261F38" w:rsidRPr="00F125C5">
        <w:rPr>
          <w:rFonts w:ascii="Arial" w:hAnsi="Arial" w:cs="Arial"/>
        </w:rPr>
        <w:t xml:space="preserve"> no país</w:t>
      </w:r>
      <w:r w:rsidRPr="00F125C5">
        <w:rPr>
          <w:rFonts w:ascii="Arial" w:hAnsi="Arial" w:cs="Arial"/>
        </w:rPr>
        <w:t xml:space="preserve">. </w:t>
      </w:r>
      <w:r w:rsidR="004B29EE" w:rsidRPr="00F125C5">
        <w:rPr>
          <w:rFonts w:ascii="Arial" w:hAnsi="Arial" w:cs="Arial"/>
        </w:rPr>
        <w:t>Em primeiro lugar</w:t>
      </w:r>
      <w:r w:rsidRPr="00F125C5">
        <w:rPr>
          <w:rFonts w:ascii="Arial" w:hAnsi="Arial" w:cs="Arial"/>
        </w:rPr>
        <w:t xml:space="preserve"> porque, no Brasil, a margem de lucro de distribuição e revenda está longe de ser o maior componente de custo dos combustíveis. Como será demonstrado ao longo desta manifestação, o custo é fortemente afetado pela carga tributária e pelos custos de produção e logística.</w:t>
      </w:r>
      <w:r w:rsidR="004B29EE" w:rsidRPr="00F125C5">
        <w:rPr>
          <w:rFonts w:ascii="Arial" w:hAnsi="Arial" w:cs="Arial"/>
        </w:rPr>
        <w:t xml:space="preserve"> A tentativa de eliminação do efeito de </w:t>
      </w:r>
      <w:r w:rsidR="004B29EE" w:rsidRPr="00F125C5">
        <w:rPr>
          <w:rFonts w:ascii="Arial" w:hAnsi="Arial" w:cs="Arial"/>
        </w:rPr>
        <w:lastRenderedPageBreak/>
        <w:t xml:space="preserve">“dupla margem” por meio da permissão da verticalização pode não surtir o efeito esperado, como já se observou em outros mercados, nos quais a permissão da verticalização não </w:t>
      </w:r>
      <w:r w:rsidR="00261F38" w:rsidRPr="00F125C5">
        <w:rPr>
          <w:rFonts w:ascii="Arial" w:hAnsi="Arial" w:cs="Arial"/>
        </w:rPr>
        <w:t xml:space="preserve">levou à </w:t>
      </w:r>
      <w:r w:rsidR="004B29EE" w:rsidRPr="00F125C5">
        <w:rPr>
          <w:rFonts w:ascii="Arial" w:hAnsi="Arial" w:cs="Arial"/>
        </w:rPr>
        <w:t>diminuição do</w:t>
      </w:r>
      <w:r w:rsidR="00261F38" w:rsidRPr="00F125C5">
        <w:rPr>
          <w:rFonts w:ascii="Arial" w:hAnsi="Arial" w:cs="Arial"/>
        </w:rPr>
        <w:t>s</w:t>
      </w:r>
      <w:r w:rsidR="004B29EE" w:rsidRPr="00F125C5">
        <w:rPr>
          <w:rFonts w:ascii="Arial" w:hAnsi="Arial" w:cs="Arial"/>
        </w:rPr>
        <w:t xml:space="preserve"> preço</w:t>
      </w:r>
      <w:r w:rsidR="00261F38" w:rsidRPr="00F125C5">
        <w:rPr>
          <w:rFonts w:ascii="Arial" w:hAnsi="Arial" w:cs="Arial"/>
        </w:rPr>
        <w:t>s aos consumidores.</w:t>
      </w:r>
      <w:r w:rsidR="004B29EE" w:rsidRPr="00F125C5">
        <w:rPr>
          <w:rFonts w:ascii="Arial" w:hAnsi="Arial" w:cs="Arial"/>
        </w:rPr>
        <w:t xml:space="preserve"> </w:t>
      </w:r>
    </w:p>
    <w:p w14:paraId="7C9A4BE3" w14:textId="11257800" w:rsidR="004B29EE" w:rsidRPr="00F125C5" w:rsidRDefault="004B29EE">
      <w:pPr>
        <w:spacing w:after="0" w:line="360" w:lineRule="auto"/>
        <w:ind w:firstLine="708"/>
        <w:jc w:val="both"/>
        <w:rPr>
          <w:rFonts w:ascii="Arial" w:hAnsi="Arial" w:cs="Arial"/>
        </w:rPr>
      </w:pPr>
      <w:r w:rsidRPr="00F125C5">
        <w:rPr>
          <w:rFonts w:ascii="Arial" w:hAnsi="Arial" w:cs="Arial"/>
        </w:rPr>
        <w:t xml:space="preserve">Em segundo lugar, não há garantia das supostas vantagens que um processo de verticalização no mercado de combustíveis apresentaria em relação ao modelo atual, uma vez que </w:t>
      </w:r>
      <w:r w:rsidR="00261F38" w:rsidRPr="00F125C5">
        <w:rPr>
          <w:rFonts w:ascii="Arial" w:hAnsi="Arial" w:cs="Arial"/>
        </w:rPr>
        <w:t xml:space="preserve">os </w:t>
      </w:r>
      <w:r w:rsidRPr="00F125C5">
        <w:rPr>
          <w:rFonts w:ascii="Arial" w:hAnsi="Arial" w:cs="Arial"/>
        </w:rPr>
        <w:t xml:space="preserve">contratos de exclusividade </w:t>
      </w:r>
      <w:r w:rsidR="00261F38" w:rsidRPr="00F125C5">
        <w:rPr>
          <w:rFonts w:ascii="Arial" w:hAnsi="Arial" w:cs="Arial"/>
        </w:rPr>
        <w:t xml:space="preserve">com tutela regulatória </w:t>
      </w:r>
      <w:r w:rsidRPr="00F125C5">
        <w:rPr>
          <w:rFonts w:ascii="Arial" w:hAnsi="Arial" w:cs="Arial"/>
        </w:rPr>
        <w:t>permite</w:t>
      </w:r>
      <w:r w:rsidR="00261F38" w:rsidRPr="00F125C5">
        <w:rPr>
          <w:rFonts w:ascii="Arial" w:hAnsi="Arial" w:cs="Arial"/>
        </w:rPr>
        <w:t>m</w:t>
      </w:r>
      <w:r w:rsidRPr="00F125C5">
        <w:rPr>
          <w:rFonts w:ascii="Arial" w:hAnsi="Arial" w:cs="Arial"/>
        </w:rPr>
        <w:t xml:space="preserve"> uma série de arranjos produtivos que acabam reduzindo a incerteza</w:t>
      </w:r>
      <w:r w:rsidR="00DC0FB3" w:rsidRPr="00F125C5">
        <w:rPr>
          <w:rFonts w:ascii="Arial" w:hAnsi="Arial" w:cs="Arial"/>
        </w:rPr>
        <w:t xml:space="preserve">, </w:t>
      </w:r>
      <w:r w:rsidR="00261F38" w:rsidRPr="00F125C5">
        <w:rPr>
          <w:rFonts w:ascii="Arial" w:hAnsi="Arial" w:cs="Arial"/>
        </w:rPr>
        <w:t>a</w:t>
      </w:r>
      <w:r w:rsidR="00DC0FB3" w:rsidRPr="00F125C5">
        <w:rPr>
          <w:rFonts w:ascii="Arial" w:hAnsi="Arial" w:cs="Arial"/>
        </w:rPr>
        <w:t xml:space="preserve"> ampliação de investimentos em ativos específicos, criam incentivos para investimentos de longo prazo em logística e infraestrutura (evitando o problema clássico de </w:t>
      </w:r>
      <w:proofErr w:type="spellStart"/>
      <w:r w:rsidR="00661995" w:rsidRPr="00F125C5">
        <w:rPr>
          <w:rFonts w:ascii="Arial" w:hAnsi="Arial" w:cs="Arial"/>
          <w:i/>
        </w:rPr>
        <w:t>h</w:t>
      </w:r>
      <w:r w:rsidR="00DC0FB3" w:rsidRPr="00F125C5">
        <w:rPr>
          <w:rFonts w:ascii="Arial" w:hAnsi="Arial" w:cs="Arial"/>
          <w:i/>
        </w:rPr>
        <w:t>old</w:t>
      </w:r>
      <w:proofErr w:type="spellEnd"/>
      <w:r w:rsidR="00DC0FB3" w:rsidRPr="00F125C5">
        <w:rPr>
          <w:rFonts w:ascii="Arial" w:hAnsi="Arial" w:cs="Arial"/>
          <w:i/>
        </w:rPr>
        <w:t xml:space="preserve"> </w:t>
      </w:r>
      <w:proofErr w:type="spellStart"/>
      <w:r w:rsidR="00DC0FB3" w:rsidRPr="00F125C5">
        <w:rPr>
          <w:rFonts w:ascii="Arial" w:hAnsi="Arial" w:cs="Arial"/>
          <w:i/>
        </w:rPr>
        <w:t>up</w:t>
      </w:r>
      <w:proofErr w:type="spellEnd"/>
      <w:r w:rsidR="00DC0FB3" w:rsidRPr="00F125C5">
        <w:rPr>
          <w:rFonts w:ascii="Arial" w:hAnsi="Arial" w:cs="Arial"/>
        </w:rPr>
        <w:t>) e geram intensa competição no setor, seja pela presença dos revendedores de marca própria</w:t>
      </w:r>
      <w:r w:rsidR="00362DFC" w:rsidRPr="00F125C5">
        <w:rPr>
          <w:rFonts w:ascii="Arial" w:hAnsi="Arial" w:cs="Arial"/>
        </w:rPr>
        <w:t xml:space="preserve"> (comumente conhecidos como bandeira branca)</w:t>
      </w:r>
      <w:r w:rsidR="00DC0FB3" w:rsidRPr="00F125C5">
        <w:rPr>
          <w:rFonts w:ascii="Arial" w:hAnsi="Arial" w:cs="Arial"/>
        </w:rPr>
        <w:t xml:space="preserve"> seja pela presença de distribuidores regionais.</w:t>
      </w:r>
      <w:r w:rsidRPr="00F125C5">
        <w:rPr>
          <w:rFonts w:ascii="Arial" w:hAnsi="Arial" w:cs="Arial"/>
        </w:rPr>
        <w:t xml:space="preserve"> </w:t>
      </w:r>
      <w:r w:rsidR="00DC0FB3" w:rsidRPr="00F125C5">
        <w:rPr>
          <w:rFonts w:ascii="Arial" w:hAnsi="Arial" w:cs="Arial"/>
        </w:rPr>
        <w:t xml:space="preserve">Até o momento, não foram apresentados estudos empíricos consistentes a apontar que a entrada de agentes verticalizados nesse mercado aumentaria a competição </w:t>
      </w:r>
      <w:r w:rsidR="00304BBF" w:rsidRPr="00F125C5">
        <w:rPr>
          <w:rFonts w:ascii="Arial" w:hAnsi="Arial" w:cs="Arial"/>
        </w:rPr>
        <w:t>e a produtividade do setor de combustíveis</w:t>
      </w:r>
      <w:r w:rsidR="000042A9" w:rsidRPr="00F125C5">
        <w:rPr>
          <w:rFonts w:ascii="Arial" w:hAnsi="Arial" w:cs="Arial"/>
        </w:rPr>
        <w:t>;</w:t>
      </w:r>
      <w:r w:rsidR="00DC0FB3" w:rsidRPr="00F125C5">
        <w:rPr>
          <w:rFonts w:ascii="Arial" w:hAnsi="Arial" w:cs="Arial"/>
        </w:rPr>
        <w:t xml:space="preserve"> pelo contrário, </w:t>
      </w:r>
      <w:r w:rsidR="00304BBF" w:rsidRPr="00F125C5">
        <w:rPr>
          <w:rFonts w:ascii="Arial" w:hAnsi="Arial" w:cs="Arial"/>
        </w:rPr>
        <w:t>boa parte dos efeitos benéficos da verticalização já são garantidos no modelo atual pela existência dos contratos de exclusividade com tutela regulatória, enquanto</w:t>
      </w:r>
      <w:r w:rsidR="00261F38" w:rsidRPr="00F125C5">
        <w:rPr>
          <w:rFonts w:ascii="Arial" w:hAnsi="Arial" w:cs="Arial"/>
        </w:rPr>
        <w:t>, ao mesmo tempo,</w:t>
      </w:r>
      <w:r w:rsidR="00304BBF" w:rsidRPr="00F125C5">
        <w:rPr>
          <w:rFonts w:ascii="Arial" w:hAnsi="Arial" w:cs="Arial"/>
        </w:rPr>
        <w:t xml:space="preserve"> </w:t>
      </w:r>
      <w:r w:rsidR="00DC0FB3" w:rsidRPr="00F125C5">
        <w:rPr>
          <w:rFonts w:ascii="Arial" w:hAnsi="Arial" w:cs="Arial"/>
        </w:rPr>
        <w:t xml:space="preserve">há motivos teóricos e práticos para induzir que os chamados efeitos negativos da verticalização (maior incentivo </w:t>
      </w:r>
      <w:r w:rsidR="00304BBF" w:rsidRPr="00F125C5">
        <w:rPr>
          <w:rFonts w:ascii="Arial" w:hAnsi="Arial" w:cs="Arial"/>
        </w:rPr>
        <w:t>à</w:t>
      </w:r>
      <w:r w:rsidR="00DC0FB3" w:rsidRPr="00F125C5">
        <w:rPr>
          <w:rFonts w:ascii="Arial" w:hAnsi="Arial" w:cs="Arial"/>
        </w:rPr>
        <w:t xml:space="preserve"> discriminação de preços, maiores barreiras à entrada, por exemplo) poderiam gerar mais prejuízos do que benefícios ao consumidor brasileiro</w:t>
      </w:r>
      <w:r w:rsidRPr="00F125C5">
        <w:rPr>
          <w:rFonts w:ascii="Arial" w:hAnsi="Arial" w:cs="Arial"/>
        </w:rPr>
        <w:t>.</w:t>
      </w:r>
      <w:r w:rsidR="00304BBF" w:rsidRPr="00F125C5">
        <w:rPr>
          <w:rFonts w:ascii="Arial" w:hAnsi="Arial" w:cs="Arial"/>
        </w:rPr>
        <w:t xml:space="preserve"> </w:t>
      </w:r>
    </w:p>
    <w:p w14:paraId="5A13C175" w14:textId="79B8D455" w:rsidR="00D0480B" w:rsidRPr="00F125C5" w:rsidRDefault="00EC3FDE">
      <w:pPr>
        <w:spacing w:after="0" w:line="360" w:lineRule="auto"/>
        <w:ind w:firstLine="708"/>
        <w:jc w:val="both"/>
        <w:rPr>
          <w:rFonts w:ascii="Arial" w:hAnsi="Arial" w:cs="Arial"/>
        </w:rPr>
      </w:pPr>
      <w:r w:rsidRPr="00F125C5">
        <w:rPr>
          <w:rFonts w:ascii="Arial" w:hAnsi="Arial" w:cs="Arial"/>
        </w:rPr>
        <w:t>H</w:t>
      </w:r>
      <w:r w:rsidR="00261F38" w:rsidRPr="00F125C5">
        <w:rPr>
          <w:rFonts w:ascii="Arial" w:hAnsi="Arial" w:cs="Arial"/>
        </w:rPr>
        <w:t xml:space="preserve">á uma terceira razão para demandar estudos mais cuidadosos antes de se defender a verticalização como alternativa </w:t>
      </w:r>
      <w:r w:rsidR="001F52BC" w:rsidRPr="00F125C5">
        <w:rPr>
          <w:rFonts w:ascii="Arial" w:hAnsi="Arial" w:cs="Arial"/>
        </w:rPr>
        <w:t>à</w:t>
      </w:r>
      <w:r w:rsidR="00261F38" w:rsidRPr="00F125C5">
        <w:rPr>
          <w:rFonts w:ascii="Arial" w:hAnsi="Arial" w:cs="Arial"/>
        </w:rPr>
        <w:t xml:space="preserve"> redução de preços no Brasil</w:t>
      </w:r>
      <w:r w:rsidR="003C7C3B" w:rsidRPr="00F125C5">
        <w:rPr>
          <w:rFonts w:ascii="Arial" w:hAnsi="Arial" w:cs="Arial"/>
        </w:rPr>
        <w:t>, qual seja, o fato de que a</w:t>
      </w:r>
      <w:r w:rsidR="00261F38" w:rsidRPr="00F125C5">
        <w:rPr>
          <w:rFonts w:ascii="Arial" w:hAnsi="Arial" w:cs="Arial"/>
        </w:rPr>
        <w:t xml:space="preserve"> verticalização </w:t>
      </w:r>
      <w:r w:rsidR="003C7C3B" w:rsidRPr="00F125C5">
        <w:rPr>
          <w:rFonts w:ascii="Arial" w:hAnsi="Arial" w:cs="Arial"/>
        </w:rPr>
        <w:t>não diminui ou ameniza, pelo contrário, pode até agravar problemas estruturais relacionados ao mercado de combustíveis. A implantação da verticalização sem a</w:t>
      </w:r>
      <w:r w:rsidR="00362DFC" w:rsidRPr="00F125C5">
        <w:rPr>
          <w:rFonts w:ascii="Arial" w:hAnsi="Arial" w:cs="Arial"/>
        </w:rPr>
        <w:t xml:space="preserve"> necessária</w:t>
      </w:r>
      <w:r w:rsidR="003C7C3B" w:rsidRPr="00F125C5">
        <w:rPr>
          <w:rFonts w:ascii="Arial" w:hAnsi="Arial" w:cs="Arial"/>
        </w:rPr>
        <w:t xml:space="preserve"> reestruturação tributária pode agravar o problema crônico </w:t>
      </w:r>
      <w:r w:rsidR="00362DFC" w:rsidRPr="00F125C5">
        <w:rPr>
          <w:rFonts w:ascii="Arial" w:hAnsi="Arial" w:cs="Arial"/>
        </w:rPr>
        <w:t xml:space="preserve">de </w:t>
      </w:r>
      <w:r w:rsidR="003C7C3B" w:rsidRPr="00F125C5">
        <w:rPr>
          <w:rFonts w:ascii="Arial" w:hAnsi="Arial" w:cs="Arial"/>
        </w:rPr>
        <w:t xml:space="preserve">evasão fiscal observado no setor. </w:t>
      </w:r>
      <w:r w:rsidR="00D0480B" w:rsidRPr="00F125C5">
        <w:rPr>
          <w:rFonts w:ascii="Arial" w:hAnsi="Arial" w:cs="Arial"/>
        </w:rPr>
        <w:t xml:space="preserve">Essa tem sido não só uma preocupação das empresas do setor como também das autoridades fazendárias. A proposição de integração vertical de produção e revenda ou distribuição e revenda tem impacto sobre arrecadação. Esse impacto deveria ser avaliado em detalhe no momento da discussão das propostas de mudança regulatória, com apresentação de propostas claras em relação à estruturação tributária futura em caso de aprovação da mudança sugerida. </w:t>
      </w:r>
    </w:p>
    <w:p w14:paraId="18F5CBB4" w14:textId="42B6C5BA" w:rsidR="003C7C3B" w:rsidRPr="00F125C5" w:rsidRDefault="005910BE">
      <w:pPr>
        <w:spacing w:after="0" w:line="360" w:lineRule="auto"/>
        <w:ind w:firstLine="708"/>
        <w:jc w:val="both"/>
        <w:rPr>
          <w:rFonts w:ascii="Arial" w:hAnsi="Arial" w:cs="Arial"/>
        </w:rPr>
      </w:pPr>
      <w:r w:rsidRPr="00F125C5">
        <w:rPr>
          <w:rFonts w:ascii="Arial" w:hAnsi="Arial" w:cs="Arial"/>
        </w:rPr>
        <w:t>A proposta de verticalização também p</w:t>
      </w:r>
      <w:r w:rsidR="003C7C3B" w:rsidRPr="00F125C5">
        <w:rPr>
          <w:rFonts w:ascii="Arial" w:hAnsi="Arial" w:cs="Arial"/>
        </w:rPr>
        <w:t>ode reforçar a posição do monopolista de fato no refino em outros elos da cadeia, diminuindo a rivalidade no mercado</w:t>
      </w:r>
      <w:r w:rsidR="00D0480B" w:rsidRPr="00F125C5">
        <w:rPr>
          <w:rFonts w:ascii="Arial" w:hAnsi="Arial" w:cs="Arial"/>
        </w:rPr>
        <w:t>, o que caminharia no sentido contrário</w:t>
      </w:r>
      <w:r w:rsidRPr="00F125C5">
        <w:rPr>
          <w:rFonts w:ascii="Arial" w:hAnsi="Arial" w:cs="Arial"/>
        </w:rPr>
        <w:t xml:space="preserve"> das discussões realizadas nos últimos anos para que haja a abertura do mercado de refino no Brasil, seja por meio de parcerias seja por meio de alienação de parte do parque de refino por parte da Petrobras. </w:t>
      </w:r>
      <w:r w:rsidR="003C7C3B" w:rsidRPr="00F125C5">
        <w:rPr>
          <w:rFonts w:ascii="Arial" w:hAnsi="Arial" w:cs="Arial"/>
        </w:rPr>
        <w:t xml:space="preserve">Pode, por fim, afastar capitais que seriam investidos em infraestrutura de produção, logística e infraestrutura, </w:t>
      </w:r>
      <w:r w:rsidR="003C7C3B" w:rsidRPr="00F125C5">
        <w:rPr>
          <w:rFonts w:ascii="Arial" w:hAnsi="Arial" w:cs="Arial"/>
        </w:rPr>
        <w:lastRenderedPageBreak/>
        <w:t>seja por conta do aumento das barreiras à entrada</w:t>
      </w:r>
      <w:r w:rsidR="00D0480B" w:rsidRPr="00F125C5">
        <w:rPr>
          <w:rFonts w:ascii="Arial" w:hAnsi="Arial" w:cs="Arial"/>
        </w:rPr>
        <w:t xml:space="preserve"> e aumento dos incentivos para discriminação de preços contra concorrentes</w:t>
      </w:r>
      <w:r w:rsidR="003C7C3B" w:rsidRPr="00F125C5">
        <w:rPr>
          <w:rFonts w:ascii="Arial" w:hAnsi="Arial" w:cs="Arial"/>
        </w:rPr>
        <w:t xml:space="preserve">, seja pela insegurança jurídica que a troca repentina do modelo brasileiro viria a gerar.   </w:t>
      </w:r>
    </w:p>
    <w:p w14:paraId="6BBCAB8B" w14:textId="77032D03" w:rsidR="00456C62" w:rsidRPr="00F125C5" w:rsidRDefault="00456C62">
      <w:pPr>
        <w:spacing w:after="0" w:line="360" w:lineRule="auto"/>
        <w:ind w:firstLine="708"/>
        <w:jc w:val="both"/>
        <w:rPr>
          <w:rFonts w:ascii="Arial" w:hAnsi="Arial" w:cs="Arial"/>
        </w:rPr>
      </w:pPr>
      <w:r w:rsidRPr="00F125C5">
        <w:rPr>
          <w:rFonts w:ascii="Arial" w:hAnsi="Arial" w:cs="Arial"/>
        </w:rPr>
        <w:t>A experiência internacional reforça a ausência de garantia</w:t>
      </w:r>
      <w:r w:rsidR="00EC3FDE" w:rsidRPr="00F125C5">
        <w:rPr>
          <w:rFonts w:ascii="Arial" w:hAnsi="Arial" w:cs="Arial"/>
        </w:rPr>
        <w:t xml:space="preserve"> de que a verticalização </w:t>
      </w:r>
      <w:r w:rsidR="00E65E13" w:rsidRPr="00F125C5">
        <w:rPr>
          <w:rFonts w:ascii="Arial" w:hAnsi="Arial" w:cs="Arial"/>
        </w:rPr>
        <w:t>seria medida eficaz na promoção da</w:t>
      </w:r>
      <w:r w:rsidR="00EC3FDE" w:rsidRPr="00F125C5">
        <w:rPr>
          <w:rFonts w:ascii="Arial" w:hAnsi="Arial" w:cs="Arial"/>
        </w:rPr>
        <w:t xml:space="preserve"> concorrência </w:t>
      </w:r>
      <w:r w:rsidR="00E65E13" w:rsidRPr="00F125C5">
        <w:rPr>
          <w:rFonts w:ascii="Arial" w:hAnsi="Arial" w:cs="Arial"/>
        </w:rPr>
        <w:t>no setor de combustíveis. Os modelos regulatórios</w:t>
      </w:r>
      <w:r w:rsidRPr="00F125C5">
        <w:rPr>
          <w:rFonts w:ascii="Arial" w:hAnsi="Arial" w:cs="Arial"/>
        </w:rPr>
        <w:t xml:space="preserve"> de cada país para o relacionamento vertical no mercado de combustíveis são</w:t>
      </w:r>
      <w:r w:rsidR="000042A9" w:rsidRPr="00F125C5">
        <w:rPr>
          <w:rFonts w:ascii="Arial" w:hAnsi="Arial" w:cs="Arial"/>
        </w:rPr>
        <w:t xml:space="preserve"> </w:t>
      </w:r>
      <w:r w:rsidRPr="00F125C5">
        <w:rPr>
          <w:rFonts w:ascii="Arial" w:hAnsi="Arial" w:cs="Arial"/>
        </w:rPr>
        <w:t>muito diferentes, variando desde situações em que há limitação ao número ou proporção de postos revendedores que podem ser de posse de atores atualmente</w:t>
      </w:r>
      <w:r w:rsidR="00EC3FDE" w:rsidRPr="00F125C5">
        <w:rPr>
          <w:rFonts w:ascii="Arial" w:hAnsi="Arial" w:cs="Arial"/>
        </w:rPr>
        <w:t xml:space="preserve"> em</w:t>
      </w:r>
      <w:r w:rsidRPr="00F125C5">
        <w:rPr>
          <w:rFonts w:ascii="Arial" w:hAnsi="Arial" w:cs="Arial"/>
        </w:rPr>
        <w:t xml:space="preserve"> elos anteriores até países em que grande parte dos postos revendedores foram contratual e verticalmente integrados com outros elos, em especial o do refino</w:t>
      </w:r>
      <w:r w:rsidR="00E65E13" w:rsidRPr="00F125C5">
        <w:rPr>
          <w:rFonts w:ascii="Arial" w:hAnsi="Arial" w:cs="Arial"/>
        </w:rPr>
        <w:t xml:space="preserve">. </w:t>
      </w:r>
    </w:p>
    <w:p w14:paraId="0152A069" w14:textId="4E5FD435" w:rsidR="00557208" w:rsidRPr="00F125C5" w:rsidRDefault="00557208" w:rsidP="00557208">
      <w:pPr>
        <w:spacing w:after="0" w:line="360" w:lineRule="auto"/>
        <w:ind w:firstLine="708"/>
        <w:jc w:val="both"/>
        <w:rPr>
          <w:rFonts w:ascii="Arial" w:hAnsi="Arial" w:cs="Arial"/>
        </w:rPr>
      </w:pPr>
      <w:r w:rsidRPr="00F125C5">
        <w:rPr>
          <w:rFonts w:ascii="Arial" w:hAnsi="Arial" w:cs="Arial"/>
        </w:rPr>
        <w:t xml:space="preserve">Cumpre salientar que a </w:t>
      </w:r>
      <w:proofErr w:type="spellStart"/>
      <w:r w:rsidRPr="00F125C5">
        <w:rPr>
          <w:rFonts w:ascii="Arial" w:hAnsi="Arial" w:cs="Arial"/>
        </w:rPr>
        <w:t>Raízen</w:t>
      </w:r>
      <w:proofErr w:type="spellEnd"/>
      <w:r w:rsidRPr="00F125C5">
        <w:rPr>
          <w:rFonts w:ascii="Arial" w:hAnsi="Arial" w:cs="Arial"/>
        </w:rPr>
        <w:t xml:space="preserve"> é completamente favorável a evolução do marco regulatório do setor, em especial se esse desenvolvimento ampliar a competição e qualidade do produto vendido ao consumidor final. Essa evolução, contudo, não pode acontecer sem uma análise mais cuidadosa dos custos e benefícios envolvidos em cada proposta normativa e deveria ser feita de uma perspectiva integrada sobre como a regulação como um todo está evoluindo. A ampliação da competitividade no setor de combustíveis no país passa necessariamente por três elementos essenciais: i) a livre precificação, </w:t>
      </w:r>
      <w:proofErr w:type="spellStart"/>
      <w:r w:rsidRPr="00F125C5">
        <w:rPr>
          <w:rFonts w:ascii="Arial" w:hAnsi="Arial" w:cs="Arial"/>
        </w:rPr>
        <w:t>ii</w:t>
      </w:r>
      <w:proofErr w:type="spellEnd"/>
      <w:r w:rsidRPr="00F125C5">
        <w:rPr>
          <w:rFonts w:ascii="Arial" w:hAnsi="Arial" w:cs="Arial"/>
        </w:rPr>
        <w:t xml:space="preserve">) o aumento da contestabilidade do monopólio de fato da Petrobras no Refino e </w:t>
      </w:r>
      <w:proofErr w:type="spellStart"/>
      <w:r w:rsidRPr="00F125C5">
        <w:rPr>
          <w:rFonts w:ascii="Arial" w:hAnsi="Arial" w:cs="Arial"/>
        </w:rPr>
        <w:t>iii</w:t>
      </w:r>
      <w:proofErr w:type="spellEnd"/>
      <w:r w:rsidRPr="00F125C5">
        <w:rPr>
          <w:rFonts w:ascii="Arial" w:hAnsi="Arial" w:cs="Arial"/>
        </w:rPr>
        <w:t xml:space="preserve">) a revisão da estrutura tributária, com a implantação da </w:t>
      </w:r>
      <w:proofErr w:type="spellStart"/>
      <w:r w:rsidRPr="00F125C5">
        <w:rPr>
          <w:rFonts w:ascii="Arial" w:hAnsi="Arial" w:cs="Arial"/>
        </w:rPr>
        <w:t>monofasia</w:t>
      </w:r>
      <w:proofErr w:type="spellEnd"/>
      <w:r w:rsidRPr="00F125C5">
        <w:rPr>
          <w:rFonts w:ascii="Arial" w:hAnsi="Arial" w:cs="Arial"/>
        </w:rPr>
        <w:t>, unificação das alíquotas de ICMS e forte combate à</w:t>
      </w:r>
      <w:r w:rsidR="00EC18E4" w:rsidRPr="00F125C5">
        <w:rPr>
          <w:rFonts w:ascii="Arial" w:hAnsi="Arial" w:cs="Arial"/>
        </w:rPr>
        <w:t>s</w:t>
      </w:r>
      <w:r w:rsidRPr="00F125C5">
        <w:rPr>
          <w:rFonts w:ascii="Arial" w:hAnsi="Arial" w:cs="Arial"/>
        </w:rPr>
        <w:t xml:space="preserve"> práticas de evasão fiscal. Esses três elementos reunidos garantiriam não só o aumento da competição entre os atores nos mais variados elos da cadeia como poderiam gerar </w:t>
      </w:r>
      <w:r w:rsidR="009B61B5" w:rsidRPr="00F125C5">
        <w:rPr>
          <w:rFonts w:ascii="Arial" w:hAnsi="Arial" w:cs="Arial"/>
        </w:rPr>
        <w:t xml:space="preserve">redução nos preços dos combustíveis baseada no aumento de produtividade do setor como um todo. </w:t>
      </w:r>
      <w:r w:rsidRPr="00F125C5">
        <w:rPr>
          <w:rFonts w:ascii="Arial" w:hAnsi="Arial" w:cs="Arial"/>
        </w:rPr>
        <w:t xml:space="preserve">Considerando que </w:t>
      </w:r>
      <w:r w:rsidR="009B61B5" w:rsidRPr="00F125C5">
        <w:rPr>
          <w:rFonts w:ascii="Arial" w:hAnsi="Arial" w:cs="Arial"/>
        </w:rPr>
        <w:t xml:space="preserve">a livre precificação, </w:t>
      </w:r>
      <w:r w:rsidRPr="00F125C5">
        <w:rPr>
          <w:rFonts w:ascii="Arial" w:hAnsi="Arial" w:cs="Arial"/>
        </w:rPr>
        <w:t xml:space="preserve">os tributos e o elo do refino são componentes </w:t>
      </w:r>
      <w:r w:rsidR="009B61B5" w:rsidRPr="00F125C5">
        <w:rPr>
          <w:rFonts w:ascii="Arial" w:hAnsi="Arial" w:cs="Arial"/>
        </w:rPr>
        <w:t>estruturais</w:t>
      </w:r>
      <w:r w:rsidRPr="00F125C5">
        <w:rPr>
          <w:rFonts w:ascii="Arial" w:hAnsi="Arial" w:cs="Arial"/>
        </w:rPr>
        <w:t xml:space="preserve"> </w:t>
      </w:r>
      <w:r w:rsidR="009B61B5" w:rsidRPr="00F125C5">
        <w:rPr>
          <w:rFonts w:ascii="Arial" w:hAnsi="Arial" w:cs="Arial"/>
        </w:rPr>
        <w:t>para a definição da estrutura de mercado e d</w:t>
      </w:r>
      <w:r w:rsidRPr="00F125C5">
        <w:rPr>
          <w:rFonts w:ascii="Arial" w:hAnsi="Arial" w:cs="Arial"/>
        </w:rPr>
        <w:t xml:space="preserve">os preços dos combustíveis no país, qualquer iniciativa de aumentar a competitividade </w:t>
      </w:r>
      <w:r w:rsidR="009B61B5" w:rsidRPr="00F125C5">
        <w:rPr>
          <w:rFonts w:ascii="Arial" w:hAnsi="Arial" w:cs="Arial"/>
        </w:rPr>
        <w:t xml:space="preserve">e produtividade no setor </w:t>
      </w:r>
      <w:r w:rsidRPr="00F125C5">
        <w:rPr>
          <w:rFonts w:ascii="Arial" w:hAnsi="Arial" w:cs="Arial"/>
        </w:rPr>
        <w:t xml:space="preserve">que não os coloque no centro das atividades </w:t>
      </w:r>
      <w:r w:rsidR="009B61B5" w:rsidRPr="00F125C5">
        <w:rPr>
          <w:rFonts w:ascii="Arial" w:hAnsi="Arial" w:cs="Arial"/>
        </w:rPr>
        <w:t>tende a ser</w:t>
      </w:r>
      <w:r w:rsidRPr="00F125C5">
        <w:rPr>
          <w:rFonts w:ascii="Arial" w:hAnsi="Arial" w:cs="Arial"/>
        </w:rPr>
        <w:t xml:space="preserve"> marginal</w:t>
      </w:r>
      <w:r w:rsidR="000042A9" w:rsidRPr="00F125C5">
        <w:rPr>
          <w:rFonts w:ascii="Arial" w:hAnsi="Arial" w:cs="Arial"/>
        </w:rPr>
        <w:t xml:space="preserve"> ou, pior, </w:t>
      </w:r>
      <w:r w:rsidRPr="00F125C5">
        <w:rPr>
          <w:rFonts w:ascii="Arial" w:hAnsi="Arial" w:cs="Arial"/>
        </w:rPr>
        <w:t>inócua.</w:t>
      </w:r>
    </w:p>
    <w:p w14:paraId="2773796B" w14:textId="19973C5A" w:rsidR="00DD477E" w:rsidRPr="00F125C5" w:rsidRDefault="00557208" w:rsidP="00F5691F">
      <w:pPr>
        <w:spacing w:after="0" w:line="360" w:lineRule="auto"/>
        <w:ind w:firstLine="708"/>
        <w:jc w:val="both"/>
        <w:rPr>
          <w:rFonts w:ascii="Arial" w:hAnsi="Arial" w:cs="Arial"/>
        </w:rPr>
      </w:pPr>
      <w:r w:rsidRPr="00F125C5">
        <w:rPr>
          <w:rFonts w:ascii="Arial" w:hAnsi="Arial" w:cs="Arial"/>
        </w:rPr>
        <w:t>Assim, d</w:t>
      </w:r>
      <w:r w:rsidR="00196AF5" w:rsidRPr="00F125C5">
        <w:rPr>
          <w:rFonts w:ascii="Arial" w:hAnsi="Arial" w:cs="Arial"/>
        </w:rPr>
        <w:t xml:space="preserve">ados os riscos </w:t>
      </w:r>
      <w:proofErr w:type="spellStart"/>
      <w:r w:rsidR="00196AF5" w:rsidRPr="00F125C5">
        <w:rPr>
          <w:rFonts w:ascii="Arial" w:hAnsi="Arial" w:cs="Arial"/>
        </w:rPr>
        <w:t>anticompetitivos</w:t>
      </w:r>
      <w:proofErr w:type="spellEnd"/>
      <w:r w:rsidR="00196AF5" w:rsidRPr="00F125C5">
        <w:rPr>
          <w:rFonts w:ascii="Arial" w:hAnsi="Arial" w:cs="Arial"/>
        </w:rPr>
        <w:t>, regulatórios e tributários que derivam de uma mudança estrutural das normas que regulam o setor,</w:t>
      </w:r>
      <w:r w:rsidR="005910BE" w:rsidRPr="00F125C5">
        <w:rPr>
          <w:rFonts w:ascii="Arial" w:hAnsi="Arial" w:cs="Arial"/>
        </w:rPr>
        <w:t xml:space="preserve"> </w:t>
      </w:r>
      <w:r w:rsidR="00BA7CD5" w:rsidRPr="00F125C5">
        <w:rPr>
          <w:rFonts w:ascii="Arial" w:hAnsi="Arial" w:cs="Arial"/>
        </w:rPr>
        <w:t>ri</w:t>
      </w:r>
      <w:r w:rsidR="00231153" w:rsidRPr="00F125C5">
        <w:rPr>
          <w:rFonts w:ascii="Arial" w:hAnsi="Arial" w:cs="Arial"/>
        </w:rPr>
        <w:t xml:space="preserve">scos estes </w:t>
      </w:r>
      <w:r w:rsidR="00BA7CD5" w:rsidRPr="00F125C5">
        <w:rPr>
          <w:rFonts w:ascii="Arial" w:hAnsi="Arial" w:cs="Arial"/>
        </w:rPr>
        <w:t xml:space="preserve">que também serão detalhados ao longo desta manifestação, </w:t>
      </w:r>
      <w:r w:rsidR="00196AF5" w:rsidRPr="00F125C5">
        <w:rPr>
          <w:rFonts w:ascii="Arial" w:hAnsi="Arial" w:cs="Arial"/>
        </w:rPr>
        <w:t>a ANP deveria fundamentar qualquer proposta normativa com um estudo minucioso de seus custos e benefícios</w:t>
      </w:r>
      <w:r w:rsidR="000042A9" w:rsidRPr="00F125C5">
        <w:rPr>
          <w:rFonts w:ascii="Arial" w:hAnsi="Arial" w:cs="Arial"/>
        </w:rPr>
        <w:t>. E</w:t>
      </w:r>
      <w:r w:rsidR="003C7C3B" w:rsidRPr="00F125C5">
        <w:rPr>
          <w:rFonts w:ascii="Arial" w:hAnsi="Arial" w:cs="Arial"/>
        </w:rPr>
        <w:t xml:space="preserve">m outras palavras, </w:t>
      </w:r>
      <w:r w:rsidR="000042A9" w:rsidRPr="00F125C5">
        <w:rPr>
          <w:rFonts w:ascii="Arial" w:hAnsi="Arial" w:cs="Arial"/>
        </w:rPr>
        <w:t xml:space="preserve">a agência deve procurar </w:t>
      </w:r>
      <w:r w:rsidR="0037798C" w:rsidRPr="00F125C5">
        <w:rPr>
          <w:rFonts w:ascii="Arial" w:hAnsi="Arial" w:cs="Arial"/>
        </w:rPr>
        <w:t>entender como a concorrência seria afetada por eventuais mudanças da atual sistemática regulatória</w:t>
      </w:r>
      <w:r w:rsidR="00F95D75" w:rsidRPr="00F125C5">
        <w:rPr>
          <w:rFonts w:ascii="Arial" w:hAnsi="Arial" w:cs="Arial"/>
        </w:rPr>
        <w:t xml:space="preserve">, </w:t>
      </w:r>
      <w:r w:rsidR="00196AF5" w:rsidRPr="00F125C5">
        <w:rPr>
          <w:rFonts w:ascii="Arial" w:hAnsi="Arial" w:cs="Arial"/>
        </w:rPr>
        <w:t>a partir de uma profunda análise de impacto regulatório</w:t>
      </w:r>
      <w:r w:rsidR="0037798C" w:rsidRPr="00F125C5">
        <w:rPr>
          <w:rFonts w:ascii="Arial" w:hAnsi="Arial" w:cs="Arial"/>
        </w:rPr>
        <w:t xml:space="preserve">. </w:t>
      </w:r>
      <w:r w:rsidR="00BA63D3" w:rsidRPr="00F125C5">
        <w:rPr>
          <w:rFonts w:ascii="Arial" w:hAnsi="Arial" w:cs="Arial"/>
        </w:rPr>
        <w:t xml:space="preserve">Diante da multiplicidade das iniciativas apresentadas pela ANP nos últimos meses, a </w:t>
      </w:r>
      <w:r w:rsidR="00DF5F43" w:rsidRPr="00F125C5">
        <w:rPr>
          <w:rFonts w:ascii="Arial" w:hAnsi="Arial" w:cs="Arial"/>
        </w:rPr>
        <w:t>pondera</w:t>
      </w:r>
      <w:r w:rsidR="00BA63D3" w:rsidRPr="00F125C5">
        <w:rPr>
          <w:rFonts w:ascii="Arial" w:hAnsi="Arial" w:cs="Arial"/>
        </w:rPr>
        <w:t>ção d</w:t>
      </w:r>
      <w:r w:rsidR="00DF5F43" w:rsidRPr="00F125C5">
        <w:rPr>
          <w:rFonts w:ascii="Arial" w:hAnsi="Arial" w:cs="Arial"/>
        </w:rPr>
        <w:t>os possíveis cenários a partir da mudança d</w:t>
      </w:r>
      <w:r w:rsidR="00AA0F94" w:rsidRPr="00F125C5">
        <w:rPr>
          <w:rFonts w:ascii="Arial" w:hAnsi="Arial" w:cs="Arial"/>
        </w:rPr>
        <w:t>este</w:t>
      </w:r>
      <w:r w:rsidR="00DF5F43" w:rsidRPr="00F125C5">
        <w:rPr>
          <w:rFonts w:ascii="Arial" w:hAnsi="Arial" w:cs="Arial"/>
        </w:rPr>
        <w:t xml:space="preserve"> </w:t>
      </w:r>
      <w:r w:rsidR="00DF5F43" w:rsidRPr="00F125C5">
        <w:rPr>
          <w:rFonts w:ascii="Arial" w:hAnsi="Arial" w:cs="Arial"/>
        </w:rPr>
        <w:lastRenderedPageBreak/>
        <w:t>modelo</w:t>
      </w:r>
      <w:r w:rsidR="00BA63D3" w:rsidRPr="00F125C5">
        <w:rPr>
          <w:rFonts w:ascii="Arial" w:hAnsi="Arial" w:cs="Arial"/>
        </w:rPr>
        <w:t xml:space="preserve"> é um</w:t>
      </w:r>
      <w:r w:rsidR="002472B9" w:rsidRPr="00F125C5">
        <w:rPr>
          <w:rFonts w:ascii="Arial" w:hAnsi="Arial" w:cs="Arial"/>
        </w:rPr>
        <w:t xml:space="preserve"> exercício ainda </w:t>
      </w:r>
      <w:r w:rsidR="00F767BB" w:rsidRPr="00F125C5">
        <w:rPr>
          <w:rFonts w:ascii="Arial" w:hAnsi="Arial" w:cs="Arial"/>
        </w:rPr>
        <w:t>incerto</w:t>
      </w:r>
      <w:r w:rsidR="00BA63D3" w:rsidRPr="00F125C5">
        <w:rPr>
          <w:rFonts w:ascii="Arial" w:hAnsi="Arial" w:cs="Arial"/>
        </w:rPr>
        <w:t>.</w:t>
      </w:r>
      <w:r w:rsidR="00B90E33" w:rsidRPr="00F125C5">
        <w:rPr>
          <w:rFonts w:ascii="Arial" w:hAnsi="Arial" w:cs="Arial"/>
        </w:rPr>
        <w:t xml:space="preserve"> </w:t>
      </w:r>
      <w:r w:rsidR="00876FCE" w:rsidRPr="00F125C5">
        <w:rPr>
          <w:rFonts w:ascii="Arial" w:hAnsi="Arial" w:cs="Arial"/>
        </w:rPr>
        <w:t>Porém, nesta manifestação, buscaremos apresentar os elementos essenciais que deveriam ser considerados e aprofundados para a tomada de qualquer decisão</w:t>
      </w:r>
      <w:r w:rsidR="009B61B5" w:rsidRPr="00F125C5">
        <w:rPr>
          <w:rFonts w:ascii="Arial" w:hAnsi="Arial" w:cs="Arial"/>
        </w:rPr>
        <w:t xml:space="preserve"> sobre a permissão da verticalização no setor de combustíveis</w:t>
      </w:r>
      <w:r w:rsidR="00DD477E" w:rsidRPr="00F125C5">
        <w:rPr>
          <w:rFonts w:ascii="Arial" w:hAnsi="Arial" w:cs="Arial"/>
        </w:rPr>
        <w:t>.</w:t>
      </w:r>
    </w:p>
    <w:p w14:paraId="0C2AA1BE" w14:textId="5D89AA12" w:rsidR="001D2403" w:rsidRPr="00F125C5" w:rsidRDefault="001D2403" w:rsidP="00F5691F">
      <w:pPr>
        <w:spacing w:after="0" w:line="360" w:lineRule="auto"/>
        <w:ind w:firstLine="708"/>
        <w:jc w:val="both"/>
        <w:rPr>
          <w:rFonts w:ascii="Arial" w:hAnsi="Arial" w:cs="Arial"/>
        </w:rPr>
      </w:pPr>
      <w:r w:rsidRPr="00F125C5">
        <w:rPr>
          <w:rFonts w:ascii="Arial" w:hAnsi="Arial" w:cs="Arial"/>
        </w:rPr>
        <w:t xml:space="preserve">Seria importante, por exemplo, propor mudanças regulatórias levando em consideração o que tem sido proposto no âmbito do programa Combustível Brasil e integrando várias iniciativas, como é o caso do </w:t>
      </w:r>
      <w:proofErr w:type="spellStart"/>
      <w:r w:rsidRPr="00F125C5">
        <w:rPr>
          <w:rFonts w:ascii="Arial" w:hAnsi="Arial" w:cs="Arial"/>
        </w:rPr>
        <w:t>Renovabio</w:t>
      </w:r>
      <w:proofErr w:type="spellEnd"/>
      <w:r w:rsidRPr="00F125C5">
        <w:rPr>
          <w:rFonts w:ascii="Arial" w:hAnsi="Arial" w:cs="Arial"/>
        </w:rPr>
        <w:t xml:space="preserve">, entre outras. </w:t>
      </w:r>
    </w:p>
    <w:p w14:paraId="39A9601B" w14:textId="615B71D3" w:rsidR="00895DC1" w:rsidRPr="00F125C5" w:rsidRDefault="00DD477E" w:rsidP="005573AA">
      <w:pPr>
        <w:spacing w:after="0" w:line="360" w:lineRule="auto"/>
        <w:ind w:firstLine="708"/>
        <w:jc w:val="both"/>
        <w:rPr>
          <w:rFonts w:ascii="Arial" w:hAnsi="Arial" w:cs="Arial"/>
        </w:rPr>
      </w:pPr>
      <w:r w:rsidRPr="00F125C5">
        <w:rPr>
          <w:rFonts w:ascii="Arial" w:hAnsi="Arial" w:cs="Arial"/>
        </w:rPr>
        <w:t xml:space="preserve">Sobre a potencial autorização </w:t>
      </w:r>
      <w:r w:rsidR="00895DC1" w:rsidRPr="00F125C5">
        <w:rPr>
          <w:rFonts w:ascii="Arial" w:hAnsi="Arial" w:cs="Arial"/>
        </w:rPr>
        <w:t>para</w:t>
      </w:r>
      <w:r w:rsidRPr="00F125C5">
        <w:rPr>
          <w:rFonts w:ascii="Arial" w:hAnsi="Arial" w:cs="Arial"/>
        </w:rPr>
        <w:t xml:space="preserve"> venda direta de produtores e importadores para revendedores além, inclusive, do que já foi sugerido no âmbito da TPC nº 2/2018 (restrita ao etanol), a inconveniência da sugestão é mais evidente. Como se verá, o atual marco regulatório do setor foi estruturado prevendo agentes distintos nos elos do segmento de </w:t>
      </w:r>
      <w:proofErr w:type="spellStart"/>
      <w:r w:rsidRPr="00F125C5">
        <w:rPr>
          <w:rFonts w:ascii="Arial" w:hAnsi="Arial" w:cs="Arial"/>
          <w:i/>
        </w:rPr>
        <w:t>downstream</w:t>
      </w:r>
      <w:proofErr w:type="spellEnd"/>
      <w:r w:rsidRPr="00F125C5">
        <w:rPr>
          <w:rFonts w:ascii="Arial" w:hAnsi="Arial" w:cs="Arial"/>
        </w:rPr>
        <w:t xml:space="preserve"> por razões que permanecem válidas nos dias de hoje. Pretender-se autorizar a venda direta irrestrita de qualquer combustíveis </w:t>
      </w:r>
      <w:r w:rsidR="006030F3" w:rsidRPr="00F125C5">
        <w:rPr>
          <w:rFonts w:ascii="Arial" w:hAnsi="Arial" w:cs="Arial"/>
        </w:rPr>
        <w:t xml:space="preserve">de produtores e importadores para </w:t>
      </w:r>
      <w:proofErr w:type="spellStart"/>
      <w:r w:rsidR="006030F3" w:rsidRPr="00F125C5">
        <w:rPr>
          <w:rFonts w:ascii="Arial" w:hAnsi="Arial" w:cs="Arial"/>
        </w:rPr>
        <w:t>revendendores</w:t>
      </w:r>
      <w:proofErr w:type="spellEnd"/>
      <w:r w:rsidR="006030F3" w:rsidRPr="00F125C5">
        <w:rPr>
          <w:rFonts w:ascii="Arial" w:hAnsi="Arial" w:cs="Arial"/>
        </w:rPr>
        <w:t xml:space="preserve"> significa, na prática, a eliminação de um agente imprescindível do mercado, o que, para além de suscitar questões referentes a constitucionalidade/legalidade da proposta, certamente acarretará em inúmeras consequências negativas, tais como, embora não apenas, aquelas já apontadas quando das contribuições feitas à esta agência pela </w:t>
      </w:r>
      <w:proofErr w:type="spellStart"/>
      <w:r w:rsidR="006030F3" w:rsidRPr="00F125C5">
        <w:rPr>
          <w:rFonts w:ascii="Arial" w:hAnsi="Arial" w:cs="Arial"/>
        </w:rPr>
        <w:t>Raízen</w:t>
      </w:r>
      <w:proofErr w:type="spellEnd"/>
      <w:r w:rsidR="006030F3" w:rsidRPr="00F125C5">
        <w:rPr>
          <w:rFonts w:ascii="Arial" w:hAnsi="Arial" w:cs="Arial"/>
        </w:rPr>
        <w:t xml:space="preserve"> e diversos outros agentes por ocasião da TPC nº 2/2018 – venha esta autorização acompanhada ou não de maior liberdade para arranjos verticais entre os agentes</w:t>
      </w:r>
      <w:r w:rsidR="00895DC1" w:rsidRPr="00F125C5">
        <w:rPr>
          <w:rFonts w:ascii="Arial" w:hAnsi="Arial" w:cs="Arial"/>
        </w:rPr>
        <w:t>.</w:t>
      </w:r>
    </w:p>
    <w:p w14:paraId="76C72B8B" w14:textId="44DD4A6A" w:rsidR="006030F3" w:rsidRPr="00F125C5" w:rsidRDefault="00895DC1" w:rsidP="005573AA">
      <w:pPr>
        <w:spacing w:after="0" w:line="360" w:lineRule="auto"/>
        <w:ind w:firstLine="708"/>
        <w:jc w:val="both"/>
        <w:rPr>
          <w:rFonts w:ascii="Arial" w:hAnsi="Arial" w:cs="Arial"/>
        </w:rPr>
      </w:pPr>
      <w:r w:rsidRPr="00F125C5">
        <w:rPr>
          <w:rFonts w:ascii="Arial" w:hAnsi="Arial" w:cs="Arial"/>
        </w:rPr>
        <w:t xml:space="preserve">Por fim, sobre a eventual revisão das atuais regras que fixam o escopo de atuação dos </w:t>
      </w:r>
      <w:proofErr w:type="spellStart"/>
      <w:r w:rsidRPr="00F125C5">
        <w:rPr>
          <w:rFonts w:ascii="Arial" w:hAnsi="Arial" w:cs="Arial"/>
        </w:rPr>
        <w:t>TRRs</w:t>
      </w:r>
      <w:proofErr w:type="spellEnd"/>
      <w:r w:rsidRPr="00F125C5">
        <w:rPr>
          <w:rFonts w:ascii="Arial" w:hAnsi="Arial" w:cs="Arial"/>
        </w:rPr>
        <w:t xml:space="preserve">, embora a </w:t>
      </w:r>
      <w:proofErr w:type="spellStart"/>
      <w:r w:rsidRPr="00F125C5">
        <w:rPr>
          <w:rFonts w:ascii="Arial" w:hAnsi="Arial" w:cs="Arial"/>
        </w:rPr>
        <w:t>Raízen</w:t>
      </w:r>
      <w:proofErr w:type="spellEnd"/>
      <w:r w:rsidRPr="00F125C5">
        <w:rPr>
          <w:rFonts w:ascii="Arial" w:hAnsi="Arial" w:cs="Arial"/>
        </w:rPr>
        <w:t xml:space="preserve"> não tenha posição necessariamente contra ou a favor</w:t>
      </w:r>
      <w:r w:rsidR="006030F3" w:rsidRPr="00F125C5">
        <w:rPr>
          <w:rFonts w:ascii="Arial" w:hAnsi="Arial" w:cs="Arial"/>
        </w:rPr>
        <w:t xml:space="preserve"> da proposta</w:t>
      </w:r>
      <w:r w:rsidRPr="00F125C5">
        <w:rPr>
          <w:rFonts w:ascii="Arial" w:hAnsi="Arial" w:cs="Arial"/>
        </w:rPr>
        <w:t>, é fundamental que, na hipótese de se resolver promover alguma revisão, as exigências para acesso à atividades que oferecerão rivalidade entre si sejam equivalentes, sob pena de se colocar em risco a necessária isonomia competitiva entre os agentes.</w:t>
      </w:r>
    </w:p>
    <w:p w14:paraId="11203908" w14:textId="4384D072" w:rsidR="00F829ED" w:rsidRPr="00F125C5" w:rsidRDefault="00895DC1" w:rsidP="005573AA">
      <w:pPr>
        <w:spacing w:after="0" w:line="360" w:lineRule="auto"/>
        <w:ind w:firstLine="708"/>
        <w:jc w:val="both"/>
        <w:rPr>
          <w:rFonts w:ascii="Arial" w:hAnsi="Arial" w:cs="Arial"/>
        </w:rPr>
      </w:pPr>
      <w:r w:rsidRPr="00F125C5">
        <w:rPr>
          <w:rFonts w:ascii="Arial" w:hAnsi="Arial" w:cs="Arial"/>
        </w:rPr>
        <w:t>Para</w:t>
      </w:r>
      <w:r w:rsidR="00B90E33" w:rsidRPr="00F125C5">
        <w:rPr>
          <w:rFonts w:ascii="Arial" w:hAnsi="Arial" w:cs="Arial"/>
        </w:rPr>
        <w:t xml:space="preserve"> desenvolver estes</w:t>
      </w:r>
      <w:r w:rsidRPr="00F125C5">
        <w:rPr>
          <w:rFonts w:ascii="Arial" w:hAnsi="Arial" w:cs="Arial"/>
        </w:rPr>
        <w:t xml:space="preserve"> argumentos</w:t>
      </w:r>
      <w:r w:rsidR="00B90E33" w:rsidRPr="00F125C5">
        <w:rPr>
          <w:rFonts w:ascii="Arial" w:hAnsi="Arial" w:cs="Arial"/>
        </w:rPr>
        <w:t>, e</w:t>
      </w:r>
      <w:r w:rsidR="008E6F09" w:rsidRPr="00F125C5">
        <w:rPr>
          <w:rFonts w:ascii="Arial" w:hAnsi="Arial" w:cs="Arial"/>
        </w:rPr>
        <w:t>sta manifestação</w:t>
      </w:r>
      <w:r w:rsidR="0084115B" w:rsidRPr="00F125C5">
        <w:rPr>
          <w:rFonts w:ascii="Arial" w:hAnsi="Arial" w:cs="Arial"/>
        </w:rPr>
        <w:t xml:space="preserve"> </w:t>
      </w:r>
      <w:r w:rsidR="002645DF" w:rsidRPr="00F125C5">
        <w:rPr>
          <w:rFonts w:ascii="Arial" w:hAnsi="Arial" w:cs="Arial"/>
        </w:rPr>
        <w:t xml:space="preserve">é dividida em </w:t>
      </w:r>
      <w:r w:rsidR="00CA5FCA" w:rsidRPr="00F125C5">
        <w:rPr>
          <w:rFonts w:ascii="Arial" w:hAnsi="Arial" w:cs="Arial"/>
        </w:rPr>
        <w:t>cinco</w:t>
      </w:r>
      <w:r w:rsidR="00E23D21" w:rsidRPr="00F125C5">
        <w:rPr>
          <w:rFonts w:ascii="Arial" w:hAnsi="Arial" w:cs="Arial"/>
        </w:rPr>
        <w:t xml:space="preserve"> </w:t>
      </w:r>
      <w:r w:rsidR="0081227A" w:rsidRPr="00F125C5">
        <w:rPr>
          <w:rFonts w:ascii="Arial" w:hAnsi="Arial" w:cs="Arial"/>
        </w:rPr>
        <w:t xml:space="preserve">partes, </w:t>
      </w:r>
      <w:r w:rsidR="00E75602" w:rsidRPr="00F125C5">
        <w:rPr>
          <w:rFonts w:ascii="Arial" w:hAnsi="Arial" w:cs="Arial"/>
        </w:rPr>
        <w:t>p</w:t>
      </w:r>
      <w:r w:rsidR="003B5060" w:rsidRPr="00F125C5">
        <w:rPr>
          <w:rFonts w:ascii="Arial" w:hAnsi="Arial" w:cs="Arial"/>
        </w:rPr>
        <w:t xml:space="preserve">ara além desta </w:t>
      </w:r>
      <w:r w:rsidR="00CE7ACA" w:rsidRPr="00F125C5">
        <w:rPr>
          <w:rFonts w:ascii="Arial" w:hAnsi="Arial" w:cs="Arial"/>
        </w:rPr>
        <w:t>I</w:t>
      </w:r>
      <w:r w:rsidR="003B5060" w:rsidRPr="00F125C5">
        <w:rPr>
          <w:rFonts w:ascii="Arial" w:hAnsi="Arial" w:cs="Arial"/>
        </w:rPr>
        <w:t xml:space="preserve">ntrodução. </w:t>
      </w:r>
      <w:r w:rsidR="00C6644A" w:rsidRPr="00F125C5">
        <w:rPr>
          <w:rFonts w:ascii="Arial" w:hAnsi="Arial" w:cs="Arial"/>
        </w:rPr>
        <w:t xml:space="preserve">Na </w:t>
      </w:r>
      <w:r w:rsidR="00CE7ACA" w:rsidRPr="00F125C5">
        <w:rPr>
          <w:rFonts w:ascii="Arial" w:hAnsi="Arial" w:cs="Arial"/>
          <w:b/>
        </w:rPr>
        <w:t>Seção 1</w:t>
      </w:r>
      <w:r w:rsidR="00C6644A" w:rsidRPr="00F125C5">
        <w:rPr>
          <w:rFonts w:ascii="Arial" w:hAnsi="Arial" w:cs="Arial"/>
        </w:rPr>
        <w:t xml:space="preserve">, </w:t>
      </w:r>
      <w:r w:rsidR="00AE6B17" w:rsidRPr="00F125C5">
        <w:rPr>
          <w:rFonts w:ascii="Arial" w:hAnsi="Arial" w:cs="Arial"/>
        </w:rPr>
        <w:t xml:space="preserve">como preliminar, </w:t>
      </w:r>
      <w:r w:rsidR="00F829ED" w:rsidRPr="00F125C5">
        <w:rPr>
          <w:rFonts w:ascii="Arial" w:hAnsi="Arial" w:cs="Arial"/>
        </w:rPr>
        <w:t xml:space="preserve">apresentamos críticas ao modo </w:t>
      </w:r>
      <w:r w:rsidR="000042A9" w:rsidRPr="00F125C5">
        <w:rPr>
          <w:rFonts w:ascii="Arial" w:hAnsi="Arial" w:cs="Arial"/>
        </w:rPr>
        <w:t>como</w:t>
      </w:r>
      <w:r w:rsidR="00F829ED" w:rsidRPr="00F125C5">
        <w:rPr>
          <w:rFonts w:ascii="Arial" w:hAnsi="Arial" w:cs="Arial"/>
        </w:rPr>
        <w:t xml:space="preserve"> a ANP vem conduzindo as propostas recentes de reformas estruturais para o setor de combustíveis</w:t>
      </w:r>
      <w:r w:rsidR="00033013" w:rsidRPr="00F125C5">
        <w:rPr>
          <w:rFonts w:ascii="Arial" w:hAnsi="Arial" w:cs="Arial"/>
        </w:rPr>
        <w:t xml:space="preserve">. A </w:t>
      </w:r>
      <w:r w:rsidR="00F829ED" w:rsidRPr="00F125C5">
        <w:rPr>
          <w:rFonts w:ascii="Arial" w:hAnsi="Arial" w:cs="Arial"/>
        </w:rPr>
        <w:t>A</w:t>
      </w:r>
      <w:r w:rsidR="00033013" w:rsidRPr="00F125C5">
        <w:rPr>
          <w:rFonts w:ascii="Arial" w:hAnsi="Arial" w:cs="Arial"/>
        </w:rPr>
        <w:t>gência</w:t>
      </w:r>
      <w:r w:rsidR="00F829ED" w:rsidRPr="00F125C5">
        <w:rPr>
          <w:rFonts w:ascii="Arial" w:hAnsi="Arial" w:cs="Arial"/>
        </w:rPr>
        <w:t>, impulsionada pelo contexto da crise de abastecimento que se instaurou em maio deste ano, vem conduzindo es</w:t>
      </w:r>
      <w:r w:rsidR="00A86C7D" w:rsidRPr="00F125C5">
        <w:rPr>
          <w:rFonts w:ascii="Arial" w:hAnsi="Arial" w:cs="Arial"/>
        </w:rPr>
        <w:t>t</w:t>
      </w:r>
      <w:r w:rsidR="00F829ED" w:rsidRPr="00F125C5">
        <w:rPr>
          <w:rFonts w:ascii="Arial" w:hAnsi="Arial" w:cs="Arial"/>
        </w:rPr>
        <w:t>as discussões sem adequadamente avaliar os profundos impactos setoriais que apresentam, gerando insegurança e instabilidade aos agentes econômicos, além de aumentar os riscos de postergação de importantes investimentos setoriais.</w:t>
      </w:r>
    </w:p>
    <w:p w14:paraId="64F693D5" w14:textId="1F388D54" w:rsidR="00877912" w:rsidRPr="00F125C5" w:rsidRDefault="00A253C6" w:rsidP="00A35822">
      <w:pPr>
        <w:spacing w:after="0" w:line="360" w:lineRule="auto"/>
        <w:ind w:firstLine="708"/>
        <w:jc w:val="both"/>
        <w:rPr>
          <w:rFonts w:ascii="Arial" w:hAnsi="Arial" w:cs="Arial"/>
        </w:rPr>
      </w:pPr>
      <w:r w:rsidRPr="00F125C5">
        <w:rPr>
          <w:rFonts w:ascii="Arial" w:hAnsi="Arial" w:cs="Arial"/>
        </w:rPr>
        <w:t xml:space="preserve">Na </w:t>
      </w:r>
      <w:r w:rsidRPr="00F125C5">
        <w:rPr>
          <w:rFonts w:ascii="Arial" w:hAnsi="Arial" w:cs="Arial"/>
          <w:b/>
        </w:rPr>
        <w:t xml:space="preserve">Seção 2, </w:t>
      </w:r>
      <w:r w:rsidR="007210B8" w:rsidRPr="00F125C5">
        <w:rPr>
          <w:rFonts w:ascii="Arial" w:hAnsi="Arial" w:cs="Arial"/>
        </w:rPr>
        <w:t xml:space="preserve">indicamos </w:t>
      </w:r>
      <w:r w:rsidR="00E25D46" w:rsidRPr="00F125C5">
        <w:rPr>
          <w:rFonts w:ascii="Arial" w:hAnsi="Arial" w:cs="Arial"/>
        </w:rPr>
        <w:t xml:space="preserve">os motivos pelos quais </w:t>
      </w:r>
      <w:r w:rsidR="006030F3" w:rsidRPr="00F125C5">
        <w:rPr>
          <w:rFonts w:ascii="Arial" w:hAnsi="Arial" w:cs="Arial"/>
        </w:rPr>
        <w:t xml:space="preserve">acreditamos que são necessários maiores aprofundamentos antes de se promover qualquer revisão nas atuais regras que </w:t>
      </w:r>
      <w:r w:rsidR="006030F3" w:rsidRPr="00F125C5">
        <w:rPr>
          <w:rFonts w:ascii="Arial" w:hAnsi="Arial" w:cs="Arial"/>
        </w:rPr>
        <w:lastRenderedPageBreak/>
        <w:t xml:space="preserve">vedam a verticalização entre os agentes do setor. Iniciamos apontando que os </w:t>
      </w:r>
      <w:r w:rsidR="00E25D46" w:rsidRPr="00F125C5">
        <w:rPr>
          <w:rFonts w:ascii="Arial" w:hAnsi="Arial" w:cs="Arial"/>
        </w:rPr>
        <w:t>estudos indicados no documento “</w:t>
      </w:r>
      <w:r w:rsidR="00E25D46" w:rsidRPr="00F125C5">
        <w:rPr>
          <w:rFonts w:ascii="Arial" w:hAnsi="Arial" w:cs="Arial"/>
          <w:i/>
        </w:rPr>
        <w:t>Repensando o setor de combustíveis</w:t>
      </w:r>
      <w:r w:rsidR="000042A9" w:rsidRPr="00F125C5">
        <w:rPr>
          <w:rFonts w:ascii="Arial" w:hAnsi="Arial" w:cs="Arial"/>
          <w:i/>
        </w:rPr>
        <w:t>”</w:t>
      </w:r>
      <w:r w:rsidR="00E25D46" w:rsidRPr="00F125C5">
        <w:rPr>
          <w:rFonts w:ascii="Arial" w:hAnsi="Arial" w:cs="Arial"/>
        </w:rPr>
        <w:t xml:space="preserve"> </w:t>
      </w:r>
      <w:r w:rsidR="00930835" w:rsidRPr="00F125C5">
        <w:rPr>
          <w:rFonts w:ascii="Arial" w:hAnsi="Arial" w:cs="Arial"/>
        </w:rPr>
        <w:t xml:space="preserve">não </w:t>
      </w:r>
      <w:r w:rsidR="006030F3" w:rsidRPr="00F125C5">
        <w:rPr>
          <w:rFonts w:ascii="Arial" w:hAnsi="Arial" w:cs="Arial"/>
        </w:rPr>
        <w:t xml:space="preserve">servem para </w:t>
      </w:r>
      <w:r w:rsidR="00930835" w:rsidRPr="00F125C5">
        <w:rPr>
          <w:rFonts w:ascii="Arial" w:hAnsi="Arial" w:cs="Arial"/>
        </w:rPr>
        <w:t xml:space="preserve">embasar </w:t>
      </w:r>
      <w:r w:rsidR="006030F3" w:rsidRPr="00F125C5">
        <w:rPr>
          <w:rFonts w:ascii="Arial" w:hAnsi="Arial" w:cs="Arial"/>
        </w:rPr>
        <w:t xml:space="preserve">a proposta de </w:t>
      </w:r>
      <w:r w:rsidR="00930835" w:rsidRPr="00F125C5">
        <w:rPr>
          <w:rFonts w:ascii="Arial" w:hAnsi="Arial" w:cs="Arial"/>
        </w:rPr>
        <w:t xml:space="preserve"> </w:t>
      </w:r>
      <w:r w:rsidR="00A54595" w:rsidRPr="00F125C5">
        <w:rPr>
          <w:rFonts w:ascii="Arial" w:hAnsi="Arial" w:cs="Arial"/>
        </w:rPr>
        <w:t xml:space="preserve">na medida </w:t>
      </w:r>
      <w:r w:rsidR="00930835" w:rsidRPr="00F125C5">
        <w:rPr>
          <w:rFonts w:ascii="Arial" w:hAnsi="Arial" w:cs="Arial"/>
        </w:rPr>
        <w:t>em que</w:t>
      </w:r>
      <w:r w:rsidR="00F825CC" w:rsidRPr="00F125C5">
        <w:rPr>
          <w:rFonts w:ascii="Arial" w:hAnsi="Arial" w:cs="Arial"/>
        </w:rPr>
        <w:t>, além de serem pouco conclusivos quanto aos efeitos da verticalização,</w:t>
      </w:r>
      <w:r w:rsidR="00930835" w:rsidRPr="00F125C5">
        <w:rPr>
          <w:rFonts w:ascii="Arial" w:hAnsi="Arial" w:cs="Arial"/>
        </w:rPr>
        <w:t xml:space="preserve"> </w:t>
      </w:r>
      <w:r w:rsidR="00815223" w:rsidRPr="00F125C5">
        <w:rPr>
          <w:rFonts w:ascii="Arial" w:hAnsi="Arial" w:cs="Arial"/>
        </w:rPr>
        <w:t>tratam de</w:t>
      </w:r>
      <w:r w:rsidR="007A47DE" w:rsidRPr="00F125C5">
        <w:rPr>
          <w:rFonts w:ascii="Arial" w:hAnsi="Arial" w:cs="Arial"/>
        </w:rPr>
        <w:t xml:space="preserve"> mercados </w:t>
      </w:r>
      <w:r w:rsidR="00815223" w:rsidRPr="00F125C5">
        <w:rPr>
          <w:rFonts w:ascii="Arial" w:hAnsi="Arial" w:cs="Arial"/>
        </w:rPr>
        <w:t>que</w:t>
      </w:r>
      <w:r w:rsidR="007A47DE" w:rsidRPr="00F125C5">
        <w:rPr>
          <w:rFonts w:ascii="Arial" w:hAnsi="Arial" w:cs="Arial"/>
        </w:rPr>
        <w:t xml:space="preserve"> apresentam</w:t>
      </w:r>
      <w:r w:rsidR="00AB78AC" w:rsidRPr="00F125C5">
        <w:rPr>
          <w:rFonts w:ascii="Arial" w:hAnsi="Arial" w:cs="Arial"/>
        </w:rPr>
        <w:t xml:space="preserve"> </w:t>
      </w:r>
      <w:r w:rsidR="00930835" w:rsidRPr="00F125C5">
        <w:rPr>
          <w:rFonts w:ascii="Arial" w:hAnsi="Arial" w:cs="Arial"/>
        </w:rPr>
        <w:t xml:space="preserve">diferenças substanciais e relevantíssimas </w:t>
      </w:r>
      <w:r w:rsidR="007A47DE" w:rsidRPr="00F125C5">
        <w:rPr>
          <w:rFonts w:ascii="Arial" w:hAnsi="Arial" w:cs="Arial"/>
        </w:rPr>
        <w:t>em relaçã</w:t>
      </w:r>
      <w:r w:rsidR="004E2230" w:rsidRPr="00F125C5">
        <w:rPr>
          <w:rFonts w:ascii="Arial" w:hAnsi="Arial" w:cs="Arial"/>
        </w:rPr>
        <w:t>o Brasil. Com efeito, os estudos apontados pelo DEE</w:t>
      </w:r>
      <w:r w:rsidR="007210B8" w:rsidRPr="00F125C5">
        <w:rPr>
          <w:rFonts w:ascii="Arial" w:hAnsi="Arial" w:cs="Arial"/>
        </w:rPr>
        <w:t xml:space="preserve"> </w:t>
      </w:r>
      <w:r w:rsidR="00A35822" w:rsidRPr="00F125C5">
        <w:rPr>
          <w:rFonts w:ascii="Arial" w:hAnsi="Arial" w:cs="Arial"/>
        </w:rPr>
        <w:t>se restringem a analisar alterações da legislação norte-americana sobre o tema,</w:t>
      </w:r>
      <w:r w:rsidR="007B078A" w:rsidRPr="00F125C5">
        <w:rPr>
          <w:rFonts w:ascii="Arial" w:hAnsi="Arial" w:cs="Arial"/>
        </w:rPr>
        <w:t xml:space="preserve"> n</w:t>
      </w:r>
      <w:r w:rsidR="00A35822" w:rsidRPr="00F125C5">
        <w:rPr>
          <w:rFonts w:ascii="Arial" w:hAnsi="Arial" w:cs="Arial"/>
        </w:rPr>
        <w:t>ão se</w:t>
      </w:r>
      <w:r w:rsidR="007B078A" w:rsidRPr="00F125C5">
        <w:rPr>
          <w:rFonts w:ascii="Arial" w:hAnsi="Arial" w:cs="Arial"/>
        </w:rPr>
        <w:t>ndo</w:t>
      </w:r>
      <w:r w:rsidR="00A35822" w:rsidRPr="00F125C5">
        <w:rPr>
          <w:rFonts w:ascii="Arial" w:hAnsi="Arial" w:cs="Arial"/>
        </w:rPr>
        <w:t xml:space="preserve"> adequados para a defesa da </w:t>
      </w:r>
      <w:r w:rsidR="00F66412" w:rsidRPr="00F125C5">
        <w:rPr>
          <w:rFonts w:ascii="Arial" w:hAnsi="Arial" w:cs="Arial"/>
        </w:rPr>
        <w:t>verticalização no Brasil</w:t>
      </w:r>
      <w:r w:rsidR="00877912" w:rsidRPr="00F125C5">
        <w:rPr>
          <w:rFonts w:ascii="Arial" w:hAnsi="Arial" w:cs="Arial"/>
        </w:rPr>
        <w:t>,</w:t>
      </w:r>
      <w:r w:rsidR="00F66412" w:rsidRPr="00F125C5">
        <w:rPr>
          <w:rFonts w:ascii="Arial" w:hAnsi="Arial" w:cs="Arial"/>
        </w:rPr>
        <w:t xml:space="preserve"> </w:t>
      </w:r>
      <w:r w:rsidR="009768F0" w:rsidRPr="00F125C5">
        <w:rPr>
          <w:rFonts w:ascii="Arial" w:hAnsi="Arial" w:cs="Arial"/>
        </w:rPr>
        <w:t>em razão</w:t>
      </w:r>
      <w:r w:rsidR="00877912" w:rsidRPr="00F125C5">
        <w:rPr>
          <w:rFonts w:ascii="Arial" w:hAnsi="Arial" w:cs="Arial"/>
        </w:rPr>
        <w:t>,</w:t>
      </w:r>
      <w:r w:rsidR="00E41B1B" w:rsidRPr="00F125C5">
        <w:rPr>
          <w:rFonts w:ascii="Arial" w:hAnsi="Arial" w:cs="Arial"/>
        </w:rPr>
        <w:t xml:space="preserve"> principalmente</w:t>
      </w:r>
      <w:r w:rsidR="00877912" w:rsidRPr="00F125C5">
        <w:rPr>
          <w:rFonts w:ascii="Arial" w:hAnsi="Arial" w:cs="Arial"/>
        </w:rPr>
        <w:t>,</w:t>
      </w:r>
      <w:r w:rsidR="00E41B1B" w:rsidRPr="00F125C5">
        <w:rPr>
          <w:rFonts w:ascii="Arial" w:hAnsi="Arial" w:cs="Arial"/>
        </w:rPr>
        <w:t xml:space="preserve"> de </w:t>
      </w:r>
      <w:r w:rsidR="00877912" w:rsidRPr="00F125C5">
        <w:rPr>
          <w:rFonts w:ascii="Arial" w:hAnsi="Arial" w:cs="Arial"/>
        </w:rPr>
        <w:t xml:space="preserve">diferenças substanciais que o mercado de combustíveis naquele país apresenta </w:t>
      </w:r>
      <w:r w:rsidR="00E23D21" w:rsidRPr="00F125C5">
        <w:rPr>
          <w:rFonts w:ascii="Arial" w:hAnsi="Arial" w:cs="Arial"/>
        </w:rPr>
        <w:t>em relação a</w:t>
      </w:r>
      <w:r w:rsidR="00877912" w:rsidRPr="00F125C5">
        <w:rPr>
          <w:rFonts w:ascii="Arial" w:hAnsi="Arial" w:cs="Arial"/>
        </w:rPr>
        <w:t>o</w:t>
      </w:r>
      <w:r w:rsidR="004E2230" w:rsidRPr="00F125C5">
        <w:rPr>
          <w:rFonts w:ascii="Arial" w:hAnsi="Arial" w:cs="Arial"/>
        </w:rPr>
        <w:t xml:space="preserve"> Brasil</w:t>
      </w:r>
      <w:r w:rsidR="00BF7CB5" w:rsidRPr="00F125C5">
        <w:rPr>
          <w:rFonts w:ascii="Arial" w:hAnsi="Arial" w:cs="Arial"/>
        </w:rPr>
        <w:t xml:space="preserve">, como o elevado número de </w:t>
      </w:r>
      <w:r w:rsidR="00BF7CB5" w:rsidRPr="00F125C5">
        <w:rPr>
          <w:rFonts w:ascii="Arial" w:hAnsi="Arial" w:cs="Arial"/>
          <w:i/>
        </w:rPr>
        <w:t xml:space="preserve">players </w:t>
      </w:r>
      <w:r w:rsidR="00BF7CB5" w:rsidRPr="00F125C5">
        <w:rPr>
          <w:rFonts w:ascii="Arial" w:hAnsi="Arial" w:cs="Arial"/>
        </w:rPr>
        <w:t>no refi</w:t>
      </w:r>
      <w:r w:rsidR="001B141D" w:rsidRPr="00F125C5">
        <w:rPr>
          <w:rFonts w:ascii="Arial" w:hAnsi="Arial" w:cs="Arial"/>
        </w:rPr>
        <w:t>no</w:t>
      </w:r>
      <w:r w:rsidR="0070241E" w:rsidRPr="00F125C5">
        <w:rPr>
          <w:rFonts w:ascii="Arial" w:hAnsi="Arial" w:cs="Arial"/>
        </w:rPr>
        <w:t xml:space="preserve"> e a ausência de um elo de distribuição estruturado </w:t>
      </w:r>
      <w:r w:rsidR="0021731C" w:rsidRPr="00F125C5">
        <w:rPr>
          <w:rFonts w:ascii="Arial" w:hAnsi="Arial" w:cs="Arial"/>
        </w:rPr>
        <w:t>como no modelo brasileiro</w:t>
      </w:r>
      <w:r w:rsidR="001B141D" w:rsidRPr="00F125C5">
        <w:rPr>
          <w:rFonts w:ascii="Arial" w:hAnsi="Arial" w:cs="Arial"/>
        </w:rPr>
        <w:t>. Além disso, as</w:t>
      </w:r>
      <w:r w:rsidR="00877912" w:rsidRPr="00F125C5">
        <w:rPr>
          <w:rFonts w:ascii="Arial" w:hAnsi="Arial" w:cs="Arial"/>
        </w:rPr>
        <w:t xml:space="preserve"> leis analisadas</w:t>
      </w:r>
      <w:r w:rsidR="003C2F8C" w:rsidRPr="00F125C5">
        <w:rPr>
          <w:rFonts w:ascii="Arial" w:hAnsi="Arial" w:cs="Arial"/>
        </w:rPr>
        <w:t xml:space="preserve"> (que</w:t>
      </w:r>
      <w:r w:rsidR="001A7606" w:rsidRPr="00F125C5">
        <w:rPr>
          <w:rFonts w:ascii="Arial" w:hAnsi="Arial" w:cs="Arial"/>
        </w:rPr>
        <w:t>, ressalta-se,</w:t>
      </w:r>
      <w:r w:rsidR="003C2F8C" w:rsidRPr="00F125C5">
        <w:rPr>
          <w:rFonts w:ascii="Arial" w:hAnsi="Arial" w:cs="Arial"/>
        </w:rPr>
        <w:t xml:space="preserve"> não vedavam </w:t>
      </w:r>
      <w:r w:rsidR="002F682A" w:rsidRPr="00F125C5">
        <w:rPr>
          <w:rFonts w:ascii="Arial" w:hAnsi="Arial" w:cs="Arial"/>
        </w:rPr>
        <w:t>relações verticais no mercado de combustíveis)</w:t>
      </w:r>
      <w:r w:rsidR="00877912" w:rsidRPr="00F125C5">
        <w:rPr>
          <w:rFonts w:ascii="Arial" w:hAnsi="Arial" w:cs="Arial"/>
        </w:rPr>
        <w:t xml:space="preserve">, além de regionais, </w:t>
      </w:r>
      <w:r w:rsidR="00BF7CB5" w:rsidRPr="00F125C5">
        <w:rPr>
          <w:rFonts w:ascii="Arial" w:hAnsi="Arial" w:cs="Arial"/>
        </w:rPr>
        <w:t xml:space="preserve">tratavam da verticalização entre </w:t>
      </w:r>
      <w:r w:rsidR="001A7606" w:rsidRPr="00F125C5">
        <w:rPr>
          <w:rFonts w:ascii="Arial" w:hAnsi="Arial" w:cs="Arial"/>
        </w:rPr>
        <w:t xml:space="preserve">os </w:t>
      </w:r>
      <w:r w:rsidR="00BF7CB5" w:rsidRPr="00F125C5">
        <w:rPr>
          <w:rFonts w:ascii="Arial" w:hAnsi="Arial" w:cs="Arial"/>
        </w:rPr>
        <w:t>e</w:t>
      </w:r>
      <w:r w:rsidR="001B141D" w:rsidRPr="00F125C5">
        <w:rPr>
          <w:rFonts w:ascii="Arial" w:hAnsi="Arial" w:cs="Arial"/>
        </w:rPr>
        <w:t xml:space="preserve">los do refino e da revenda, diferentemente do aparente </w:t>
      </w:r>
      <w:r w:rsidR="00655374" w:rsidRPr="00F125C5">
        <w:rPr>
          <w:rFonts w:ascii="Arial" w:hAnsi="Arial" w:cs="Arial"/>
        </w:rPr>
        <w:t xml:space="preserve">cerne da discussão travada </w:t>
      </w:r>
      <w:r w:rsidR="00956D06" w:rsidRPr="00F125C5">
        <w:rPr>
          <w:rFonts w:ascii="Arial" w:hAnsi="Arial" w:cs="Arial"/>
        </w:rPr>
        <w:t>na</w:t>
      </w:r>
      <w:r w:rsidR="00655374" w:rsidRPr="00F125C5">
        <w:rPr>
          <w:rFonts w:ascii="Arial" w:hAnsi="Arial" w:cs="Arial"/>
        </w:rPr>
        <w:t xml:space="preserve"> presente TPC, que se volta ao debate de eventual </w:t>
      </w:r>
      <w:r w:rsidR="00187F0C" w:rsidRPr="00F125C5">
        <w:rPr>
          <w:rFonts w:ascii="Arial" w:hAnsi="Arial" w:cs="Arial"/>
        </w:rPr>
        <w:t>“</w:t>
      </w:r>
      <w:r w:rsidR="00655374" w:rsidRPr="00F125C5">
        <w:rPr>
          <w:rFonts w:ascii="Arial" w:hAnsi="Arial" w:cs="Arial"/>
          <w:i/>
        </w:rPr>
        <w:t xml:space="preserve">verticalização </w:t>
      </w:r>
      <w:r w:rsidR="00187F0C" w:rsidRPr="00F125C5">
        <w:rPr>
          <w:rFonts w:ascii="Arial" w:hAnsi="Arial" w:cs="Arial"/>
          <w:i/>
        </w:rPr>
        <w:t xml:space="preserve">da cadeia de </w:t>
      </w:r>
      <w:r w:rsidR="00187F0C" w:rsidRPr="00F125C5">
        <w:rPr>
          <w:rFonts w:ascii="Arial" w:hAnsi="Arial" w:cs="Arial"/>
          <w:i/>
          <w:u w:val="single"/>
        </w:rPr>
        <w:t>distribuição</w:t>
      </w:r>
      <w:r w:rsidR="00187F0C" w:rsidRPr="00F125C5">
        <w:rPr>
          <w:rFonts w:ascii="Arial" w:hAnsi="Arial" w:cs="Arial"/>
          <w:i/>
        </w:rPr>
        <w:t xml:space="preserve"> de combustíveis”.</w:t>
      </w:r>
      <w:r w:rsidR="00187F0C" w:rsidRPr="00F125C5">
        <w:rPr>
          <w:rFonts w:ascii="Arial" w:hAnsi="Arial" w:cs="Arial"/>
        </w:rPr>
        <w:t xml:space="preserve"> </w:t>
      </w:r>
    </w:p>
    <w:p w14:paraId="030ED1C2" w14:textId="100917FE" w:rsidR="00BF7146" w:rsidRPr="00F125C5" w:rsidRDefault="00BF7146" w:rsidP="00EF6CD4">
      <w:pPr>
        <w:spacing w:after="0" w:line="360" w:lineRule="auto"/>
        <w:ind w:firstLine="708"/>
        <w:jc w:val="both"/>
        <w:rPr>
          <w:rFonts w:ascii="Arial" w:hAnsi="Arial" w:cs="Arial"/>
        </w:rPr>
      </w:pPr>
      <w:r w:rsidRPr="00F125C5">
        <w:rPr>
          <w:rFonts w:ascii="Arial" w:hAnsi="Arial" w:cs="Arial"/>
        </w:rPr>
        <w:t>N</w:t>
      </w:r>
      <w:r w:rsidR="00EA7DBB" w:rsidRPr="00F125C5">
        <w:rPr>
          <w:rFonts w:ascii="Arial" w:hAnsi="Arial" w:cs="Arial"/>
        </w:rPr>
        <w:t xml:space="preserve">a </w:t>
      </w:r>
      <w:r w:rsidR="00EA7DBB" w:rsidRPr="00F125C5">
        <w:rPr>
          <w:rFonts w:ascii="Arial" w:hAnsi="Arial" w:cs="Arial"/>
          <w:b/>
        </w:rPr>
        <w:t>Seção 3</w:t>
      </w:r>
      <w:r w:rsidR="00EA7DBB" w:rsidRPr="00F125C5">
        <w:rPr>
          <w:rFonts w:ascii="Arial" w:hAnsi="Arial" w:cs="Arial"/>
        </w:rPr>
        <w:t xml:space="preserve">, </w:t>
      </w:r>
      <w:r w:rsidR="00C6644A" w:rsidRPr="00F125C5">
        <w:rPr>
          <w:rFonts w:ascii="Arial" w:hAnsi="Arial" w:cs="Arial"/>
        </w:rPr>
        <w:t>identificamos as eficiências econômicas normalmente atribuídas à verticalização</w:t>
      </w:r>
      <w:r w:rsidR="00E12DAC" w:rsidRPr="00F125C5">
        <w:rPr>
          <w:rFonts w:ascii="Arial" w:hAnsi="Arial" w:cs="Arial"/>
        </w:rPr>
        <w:t xml:space="preserve">, </w:t>
      </w:r>
      <w:r w:rsidR="005A13CB" w:rsidRPr="00F125C5">
        <w:rPr>
          <w:rFonts w:ascii="Arial" w:hAnsi="Arial" w:cs="Arial"/>
        </w:rPr>
        <w:t>bem como os</w:t>
      </w:r>
      <w:r w:rsidR="00C6644A" w:rsidRPr="00F125C5">
        <w:rPr>
          <w:rFonts w:ascii="Arial" w:hAnsi="Arial" w:cs="Arial"/>
        </w:rPr>
        <w:t xml:space="preserve"> riscos competitivos </w:t>
      </w:r>
      <w:r w:rsidR="00E12DAC" w:rsidRPr="00F125C5">
        <w:rPr>
          <w:rFonts w:ascii="Arial" w:hAnsi="Arial" w:cs="Arial"/>
        </w:rPr>
        <w:t xml:space="preserve">que também são </w:t>
      </w:r>
      <w:r w:rsidR="00C6644A" w:rsidRPr="00F125C5">
        <w:rPr>
          <w:rFonts w:ascii="Arial" w:hAnsi="Arial" w:cs="Arial"/>
        </w:rPr>
        <w:t>a ela associados.</w:t>
      </w:r>
      <w:r w:rsidR="00B95E7F" w:rsidRPr="00F125C5">
        <w:rPr>
          <w:rFonts w:ascii="Arial" w:hAnsi="Arial" w:cs="Arial"/>
        </w:rPr>
        <w:t xml:space="preserve"> </w:t>
      </w:r>
      <w:r w:rsidR="00C61EA6" w:rsidRPr="00F125C5">
        <w:rPr>
          <w:rFonts w:ascii="Arial" w:hAnsi="Arial" w:cs="Arial"/>
        </w:rPr>
        <w:t>A partir desta apresentação, concluímos que os efeitos da verticalização são complexos e por vezes imprevisíveis</w:t>
      </w:r>
      <w:r w:rsidR="00281D45" w:rsidRPr="00F125C5">
        <w:rPr>
          <w:rFonts w:ascii="Arial" w:hAnsi="Arial" w:cs="Arial"/>
        </w:rPr>
        <w:t xml:space="preserve">, donde a necessidade de qualquer discussão neste sentido se basear em profundas análises de impacto regulatório. </w:t>
      </w:r>
    </w:p>
    <w:p w14:paraId="09A5EA42" w14:textId="5764A0B4" w:rsidR="006B5338" w:rsidRPr="00F125C5" w:rsidRDefault="000457F6" w:rsidP="00EF6CD4">
      <w:pPr>
        <w:spacing w:after="0" w:line="360" w:lineRule="auto"/>
        <w:ind w:firstLine="708"/>
        <w:jc w:val="both"/>
        <w:rPr>
          <w:rFonts w:ascii="Arial" w:hAnsi="Arial" w:cs="Arial"/>
        </w:rPr>
      </w:pPr>
      <w:r w:rsidRPr="00F125C5">
        <w:rPr>
          <w:rFonts w:ascii="Arial" w:hAnsi="Arial" w:cs="Arial"/>
        </w:rPr>
        <w:t xml:space="preserve">Feitas estas ponderações, </w:t>
      </w:r>
      <w:r w:rsidR="000D6B95" w:rsidRPr="00F125C5">
        <w:rPr>
          <w:rFonts w:ascii="Arial" w:hAnsi="Arial" w:cs="Arial"/>
        </w:rPr>
        <w:t xml:space="preserve">passamos a analisar, </w:t>
      </w:r>
      <w:r w:rsidRPr="00F125C5">
        <w:rPr>
          <w:rFonts w:ascii="Arial" w:hAnsi="Arial" w:cs="Arial"/>
        </w:rPr>
        <w:t xml:space="preserve">na </w:t>
      </w:r>
      <w:r w:rsidRPr="00F125C5">
        <w:rPr>
          <w:rFonts w:ascii="Arial" w:hAnsi="Arial" w:cs="Arial"/>
          <w:b/>
        </w:rPr>
        <w:t>Seção 4</w:t>
      </w:r>
      <w:r w:rsidRPr="00F125C5">
        <w:rPr>
          <w:rFonts w:ascii="Arial" w:hAnsi="Arial" w:cs="Arial"/>
        </w:rPr>
        <w:t xml:space="preserve">, </w:t>
      </w:r>
      <w:r w:rsidR="00B55ACB" w:rsidRPr="00F125C5">
        <w:rPr>
          <w:rFonts w:ascii="Arial" w:hAnsi="Arial" w:cs="Arial"/>
        </w:rPr>
        <w:t>os i</w:t>
      </w:r>
      <w:r w:rsidR="00A65FAA" w:rsidRPr="00F125C5">
        <w:rPr>
          <w:rFonts w:ascii="Arial" w:hAnsi="Arial" w:cs="Arial"/>
        </w:rPr>
        <w:t xml:space="preserve">números modelos de </w:t>
      </w:r>
      <w:r w:rsidR="00B55ACB" w:rsidRPr="00F125C5">
        <w:rPr>
          <w:rFonts w:ascii="Arial" w:hAnsi="Arial" w:cs="Arial"/>
        </w:rPr>
        <w:t>regulação existentes</w:t>
      </w:r>
      <w:r w:rsidR="00A65FAA" w:rsidRPr="00F125C5">
        <w:rPr>
          <w:rFonts w:ascii="Arial" w:hAnsi="Arial" w:cs="Arial"/>
        </w:rPr>
        <w:t xml:space="preserve"> </w:t>
      </w:r>
      <w:r w:rsidR="003F6E25" w:rsidRPr="00F125C5">
        <w:rPr>
          <w:rFonts w:ascii="Arial" w:hAnsi="Arial" w:cs="Arial"/>
        </w:rPr>
        <w:t xml:space="preserve">no mundo </w:t>
      </w:r>
      <w:r w:rsidR="00C45945" w:rsidRPr="00F125C5">
        <w:rPr>
          <w:rFonts w:ascii="Arial" w:hAnsi="Arial" w:cs="Arial"/>
        </w:rPr>
        <w:t>que se voltam à definição</w:t>
      </w:r>
      <w:r w:rsidR="00A65FAA" w:rsidRPr="00F125C5">
        <w:rPr>
          <w:rFonts w:ascii="Arial" w:hAnsi="Arial" w:cs="Arial"/>
        </w:rPr>
        <w:t xml:space="preserve"> </w:t>
      </w:r>
      <w:r w:rsidR="00C45945" w:rsidRPr="00F125C5">
        <w:rPr>
          <w:rFonts w:ascii="Arial" w:hAnsi="Arial" w:cs="Arial"/>
        </w:rPr>
        <w:t>d</w:t>
      </w:r>
      <w:r w:rsidR="0031519A" w:rsidRPr="00F125C5">
        <w:rPr>
          <w:rFonts w:ascii="Arial" w:hAnsi="Arial" w:cs="Arial"/>
        </w:rPr>
        <w:t xml:space="preserve">os </w:t>
      </w:r>
      <w:r w:rsidR="00A65FAA" w:rsidRPr="00F125C5">
        <w:rPr>
          <w:rFonts w:ascii="Arial" w:hAnsi="Arial" w:cs="Arial"/>
        </w:rPr>
        <w:t xml:space="preserve">limites ao processo de verticalização no mercado de </w:t>
      </w:r>
      <w:r w:rsidRPr="00F125C5">
        <w:rPr>
          <w:rFonts w:ascii="Arial" w:hAnsi="Arial" w:cs="Arial"/>
        </w:rPr>
        <w:t>combustívei</w:t>
      </w:r>
      <w:r w:rsidR="00A932BF" w:rsidRPr="00F125C5">
        <w:rPr>
          <w:rFonts w:ascii="Arial" w:hAnsi="Arial" w:cs="Arial"/>
        </w:rPr>
        <w:t xml:space="preserve">s. </w:t>
      </w:r>
      <w:r w:rsidR="006030F3" w:rsidRPr="00F125C5">
        <w:rPr>
          <w:rFonts w:ascii="Arial" w:hAnsi="Arial" w:cs="Arial"/>
        </w:rPr>
        <w:t>Neste ponto</w:t>
      </w:r>
      <w:r w:rsidR="00EF6CD4" w:rsidRPr="00F125C5">
        <w:rPr>
          <w:rFonts w:ascii="Arial" w:hAnsi="Arial" w:cs="Arial"/>
        </w:rPr>
        <w:t xml:space="preserve"> defendemos que </w:t>
      </w:r>
      <w:r w:rsidR="0065534A" w:rsidRPr="00F125C5">
        <w:rPr>
          <w:rFonts w:ascii="Arial" w:hAnsi="Arial" w:cs="Arial"/>
        </w:rPr>
        <w:t xml:space="preserve">não há garantia das supostas vantagens </w:t>
      </w:r>
      <w:r w:rsidR="00EF6CD4" w:rsidRPr="00F125C5">
        <w:rPr>
          <w:rFonts w:ascii="Arial" w:hAnsi="Arial" w:cs="Arial"/>
        </w:rPr>
        <w:t>da</w:t>
      </w:r>
      <w:r w:rsidR="0065534A" w:rsidRPr="00F125C5">
        <w:rPr>
          <w:rFonts w:ascii="Arial" w:hAnsi="Arial" w:cs="Arial"/>
        </w:rPr>
        <w:t xml:space="preserve"> verticalização no mercado de combustíveis em relação ao modelo atual</w:t>
      </w:r>
      <w:r w:rsidR="00EF6CD4" w:rsidRPr="00F125C5">
        <w:rPr>
          <w:rFonts w:ascii="Arial" w:hAnsi="Arial" w:cs="Arial"/>
        </w:rPr>
        <w:t xml:space="preserve"> e</w:t>
      </w:r>
      <w:r w:rsidR="00EF6CD4" w:rsidRPr="00F125C5">
        <w:rPr>
          <w:rFonts w:ascii="Arial" w:hAnsi="Arial" w:cs="Arial"/>
          <w:b/>
        </w:rPr>
        <w:t xml:space="preserve"> </w:t>
      </w:r>
      <w:r w:rsidR="008E4409" w:rsidRPr="00F125C5">
        <w:rPr>
          <w:rFonts w:ascii="Arial" w:hAnsi="Arial" w:cs="Arial"/>
        </w:rPr>
        <w:t>exploramos</w:t>
      </w:r>
      <w:r w:rsidR="00ED0933" w:rsidRPr="00F125C5">
        <w:rPr>
          <w:rFonts w:ascii="Arial" w:hAnsi="Arial" w:cs="Arial"/>
        </w:rPr>
        <w:t xml:space="preserve"> os </w:t>
      </w:r>
      <w:r w:rsidR="008E4409" w:rsidRPr="00F125C5">
        <w:rPr>
          <w:rFonts w:ascii="Arial" w:hAnsi="Arial" w:cs="Arial"/>
        </w:rPr>
        <w:t>possíveis e prováveis impactos</w:t>
      </w:r>
      <w:r w:rsidR="00D62749" w:rsidRPr="00F125C5">
        <w:rPr>
          <w:rFonts w:ascii="Arial" w:hAnsi="Arial" w:cs="Arial"/>
        </w:rPr>
        <w:t xml:space="preserve"> competitivos</w:t>
      </w:r>
      <w:r w:rsidR="00C01ADE" w:rsidRPr="00F125C5">
        <w:rPr>
          <w:rFonts w:ascii="Arial" w:hAnsi="Arial" w:cs="Arial"/>
        </w:rPr>
        <w:t xml:space="preserve"> </w:t>
      </w:r>
      <w:r w:rsidR="00ED0933" w:rsidRPr="00F125C5">
        <w:rPr>
          <w:rFonts w:ascii="Arial" w:hAnsi="Arial" w:cs="Arial"/>
        </w:rPr>
        <w:t>das medidas colocadas em discussão no âmbito da presente TPC</w:t>
      </w:r>
      <w:r w:rsidR="006B5338" w:rsidRPr="00F125C5">
        <w:rPr>
          <w:rFonts w:ascii="Arial" w:hAnsi="Arial" w:cs="Arial"/>
        </w:rPr>
        <w:t>.</w:t>
      </w:r>
    </w:p>
    <w:p w14:paraId="53E30426" w14:textId="6DBC5B25" w:rsidR="00A65FAA" w:rsidRPr="00F125C5" w:rsidRDefault="00CD76CC" w:rsidP="0021724D">
      <w:pPr>
        <w:spacing w:after="0" w:line="360" w:lineRule="auto"/>
        <w:ind w:firstLine="708"/>
        <w:jc w:val="both"/>
        <w:rPr>
          <w:rFonts w:ascii="Arial" w:hAnsi="Arial" w:cs="Arial"/>
        </w:rPr>
      </w:pPr>
      <w:r w:rsidRPr="00F125C5">
        <w:rPr>
          <w:rFonts w:ascii="Arial" w:hAnsi="Arial" w:cs="Arial"/>
        </w:rPr>
        <w:t xml:space="preserve">Por fim, na última seção, </w:t>
      </w:r>
      <w:r w:rsidR="00281D45" w:rsidRPr="00F125C5">
        <w:rPr>
          <w:rFonts w:ascii="Arial" w:hAnsi="Arial" w:cs="Arial"/>
          <w:b/>
        </w:rPr>
        <w:t xml:space="preserve">Seção </w:t>
      </w:r>
      <w:r w:rsidR="00EF6CD4" w:rsidRPr="00F125C5">
        <w:rPr>
          <w:rFonts w:ascii="Arial" w:hAnsi="Arial" w:cs="Arial"/>
          <w:b/>
        </w:rPr>
        <w:t>5</w:t>
      </w:r>
      <w:r w:rsidR="00281D45" w:rsidRPr="00F125C5">
        <w:rPr>
          <w:rFonts w:ascii="Arial" w:hAnsi="Arial" w:cs="Arial"/>
        </w:rPr>
        <w:t xml:space="preserve">, </w:t>
      </w:r>
      <w:r w:rsidR="00D560D9" w:rsidRPr="00F125C5">
        <w:rPr>
          <w:rFonts w:ascii="Arial" w:hAnsi="Arial" w:cs="Arial"/>
        </w:rPr>
        <w:t>faremos uma breve conclusão</w:t>
      </w:r>
      <w:r w:rsidR="008C2998" w:rsidRPr="00F125C5">
        <w:rPr>
          <w:rFonts w:ascii="Arial" w:hAnsi="Arial" w:cs="Arial"/>
        </w:rPr>
        <w:t xml:space="preserve">, </w:t>
      </w:r>
      <w:r w:rsidR="008E4409" w:rsidRPr="00F125C5">
        <w:rPr>
          <w:rFonts w:ascii="Arial" w:hAnsi="Arial" w:cs="Arial"/>
        </w:rPr>
        <w:t>sugerindo</w:t>
      </w:r>
      <w:r w:rsidR="00913978" w:rsidRPr="00F125C5">
        <w:rPr>
          <w:rFonts w:ascii="Arial" w:hAnsi="Arial" w:cs="Arial"/>
        </w:rPr>
        <w:t xml:space="preserve"> que</w:t>
      </w:r>
      <w:r w:rsidR="007514ED" w:rsidRPr="00F125C5">
        <w:rPr>
          <w:rFonts w:ascii="Arial" w:hAnsi="Arial" w:cs="Arial"/>
        </w:rPr>
        <w:t xml:space="preserve"> a agenda da promoção </w:t>
      </w:r>
      <w:r w:rsidR="008E4409" w:rsidRPr="00F125C5">
        <w:rPr>
          <w:rFonts w:ascii="Arial" w:hAnsi="Arial" w:cs="Arial"/>
        </w:rPr>
        <w:t xml:space="preserve">da produtividade e da concorrência no setor de combustíveis </w:t>
      </w:r>
      <w:r w:rsidR="007F3E72" w:rsidRPr="00F125C5">
        <w:rPr>
          <w:rFonts w:ascii="Arial" w:hAnsi="Arial" w:cs="Arial"/>
        </w:rPr>
        <w:t xml:space="preserve">deve passar, necessariamente, </w:t>
      </w:r>
      <w:r w:rsidR="0021731C" w:rsidRPr="00F125C5">
        <w:rPr>
          <w:rFonts w:ascii="Arial" w:hAnsi="Arial" w:cs="Arial"/>
        </w:rPr>
        <w:t xml:space="preserve">por questões estruturais do setor, tais como </w:t>
      </w:r>
      <w:r w:rsidR="007F3E72" w:rsidRPr="00F125C5">
        <w:rPr>
          <w:rFonts w:ascii="Arial" w:hAnsi="Arial" w:cs="Arial"/>
        </w:rPr>
        <w:t>a revisão da tribut</w:t>
      </w:r>
      <w:r w:rsidR="00E1326B" w:rsidRPr="00F125C5">
        <w:rPr>
          <w:rFonts w:ascii="Arial" w:hAnsi="Arial" w:cs="Arial"/>
        </w:rPr>
        <w:t>ação incidente sobre o</w:t>
      </w:r>
      <w:r w:rsidR="0021731C" w:rsidRPr="00F125C5">
        <w:rPr>
          <w:rFonts w:ascii="Arial" w:hAnsi="Arial" w:cs="Arial"/>
        </w:rPr>
        <w:t xml:space="preserve"> mercado de combustíveis</w:t>
      </w:r>
      <w:r w:rsidR="00E1326B" w:rsidRPr="00F125C5">
        <w:rPr>
          <w:rFonts w:ascii="Arial" w:hAnsi="Arial" w:cs="Arial"/>
        </w:rPr>
        <w:t xml:space="preserve">, o combate </w:t>
      </w:r>
      <w:r w:rsidR="0021731C" w:rsidRPr="00F125C5">
        <w:rPr>
          <w:rFonts w:ascii="Arial" w:hAnsi="Arial" w:cs="Arial"/>
        </w:rPr>
        <w:t>à</w:t>
      </w:r>
      <w:r w:rsidR="00E1326B" w:rsidRPr="00F125C5">
        <w:rPr>
          <w:rFonts w:ascii="Arial" w:hAnsi="Arial" w:cs="Arial"/>
        </w:rPr>
        <w:t xml:space="preserve"> condutas oportunistas (em especial a evasão fiscal) e </w:t>
      </w:r>
      <w:r w:rsidR="00502F06" w:rsidRPr="00F125C5">
        <w:rPr>
          <w:rFonts w:ascii="Arial" w:hAnsi="Arial" w:cs="Arial"/>
        </w:rPr>
        <w:t xml:space="preserve">a </w:t>
      </w:r>
      <w:r w:rsidR="00FF3D38" w:rsidRPr="00F125C5">
        <w:rPr>
          <w:rFonts w:ascii="Arial" w:hAnsi="Arial" w:cs="Arial"/>
        </w:rPr>
        <w:t>criação de condições para a contestação do poder de monopólio</w:t>
      </w:r>
      <w:r w:rsidR="004406E8" w:rsidRPr="00F125C5">
        <w:rPr>
          <w:rFonts w:ascii="Arial" w:hAnsi="Arial" w:cs="Arial"/>
        </w:rPr>
        <w:t xml:space="preserve"> que marca o refino nacional. </w:t>
      </w:r>
    </w:p>
    <w:p w14:paraId="05988F76" w14:textId="6A3C1536" w:rsidR="00834775" w:rsidRPr="00F125C5" w:rsidRDefault="00834775" w:rsidP="00F4544C">
      <w:pPr>
        <w:spacing w:after="0" w:line="360" w:lineRule="auto"/>
        <w:jc w:val="both"/>
        <w:rPr>
          <w:rFonts w:ascii="Arial" w:hAnsi="Arial" w:cs="Arial"/>
        </w:rPr>
      </w:pPr>
    </w:p>
    <w:p w14:paraId="28C2A9F5" w14:textId="77777777" w:rsidR="009927E0" w:rsidRPr="00F125C5" w:rsidRDefault="009927E0">
      <w:pPr>
        <w:spacing w:after="160" w:line="259" w:lineRule="auto"/>
        <w:rPr>
          <w:rFonts w:ascii="Arial" w:hAnsi="Arial" w:cs="Arial"/>
          <w:b/>
        </w:rPr>
      </w:pPr>
      <w:r w:rsidRPr="00F125C5">
        <w:rPr>
          <w:rFonts w:ascii="Arial" w:hAnsi="Arial" w:cs="Arial"/>
          <w:b/>
        </w:rPr>
        <w:br w:type="page"/>
      </w:r>
    </w:p>
    <w:p w14:paraId="0945B00E" w14:textId="74F8BF29" w:rsidR="00215C18" w:rsidRPr="00F125C5" w:rsidRDefault="00F125C5" w:rsidP="00F125C5">
      <w:pPr>
        <w:pStyle w:val="PargrafodaLista"/>
        <w:tabs>
          <w:tab w:val="left" w:pos="426"/>
        </w:tabs>
        <w:spacing w:after="0" w:line="360" w:lineRule="auto"/>
        <w:ind w:left="0"/>
        <w:jc w:val="both"/>
        <w:rPr>
          <w:rFonts w:ascii="Arial" w:hAnsi="Arial" w:cs="Arial"/>
          <w:b/>
        </w:rPr>
      </w:pPr>
      <w:r>
        <w:rPr>
          <w:rFonts w:ascii="Arial" w:hAnsi="Arial" w:cs="Arial"/>
          <w:b/>
        </w:rPr>
        <w:lastRenderedPageBreak/>
        <w:t xml:space="preserve">1. </w:t>
      </w:r>
      <w:r w:rsidR="00E25189" w:rsidRPr="00F125C5">
        <w:rPr>
          <w:rFonts w:ascii="Arial" w:hAnsi="Arial" w:cs="Arial"/>
          <w:b/>
        </w:rPr>
        <w:t>CRÍTICAS AO PROCESSO REGULATÓRIO ATUALMENTE CONDUZIDO PELA ANP</w:t>
      </w:r>
    </w:p>
    <w:p w14:paraId="69C2C592" w14:textId="77777777" w:rsidR="00A7417F" w:rsidRDefault="00A7417F" w:rsidP="00860969">
      <w:pPr>
        <w:spacing w:after="0" w:line="360" w:lineRule="auto"/>
        <w:ind w:firstLine="708"/>
        <w:jc w:val="both"/>
        <w:rPr>
          <w:rFonts w:ascii="Arial" w:hAnsi="Arial" w:cs="Arial"/>
        </w:rPr>
      </w:pPr>
    </w:p>
    <w:p w14:paraId="07750DE7" w14:textId="071AB707" w:rsidR="00860969" w:rsidRPr="00F125C5" w:rsidRDefault="00860969" w:rsidP="00860969">
      <w:pPr>
        <w:spacing w:after="0" w:line="360" w:lineRule="auto"/>
        <w:ind w:firstLine="708"/>
        <w:jc w:val="both"/>
        <w:rPr>
          <w:rFonts w:ascii="Arial" w:hAnsi="Arial" w:cs="Arial"/>
        </w:rPr>
      </w:pPr>
      <w:r w:rsidRPr="00F125C5">
        <w:rPr>
          <w:rFonts w:ascii="Arial" w:hAnsi="Arial" w:cs="Arial"/>
        </w:rPr>
        <w:t>Nos últimos meses, a ANP lançou uma série de Tomadas Públicas de Contribuições – que não contam com previsão em qualquer regulamento da Agência – com o intuito de discutir propostas de mudanças estruturais ao setor de combustíveis no Brasil. A primeira delas (TCP nº 01/2018), que ocorreu como resposta rápida e urgente da ANP à crise de abastecimento que se instaurou em maio deste ano, se voltou à “</w:t>
      </w:r>
      <w:r w:rsidRPr="00F125C5">
        <w:rPr>
          <w:rFonts w:ascii="Arial" w:hAnsi="Arial" w:cs="Arial"/>
          <w:i/>
          <w:iCs/>
        </w:rPr>
        <w:t>análise sobre eventual elaboração de ato normativo estabelecendo periodicidade mínima para o repasse do reajuste do preço dos combustíveis</w:t>
      </w:r>
      <w:r w:rsidRPr="00F125C5">
        <w:rPr>
          <w:rFonts w:ascii="Arial" w:hAnsi="Arial" w:cs="Arial"/>
        </w:rPr>
        <w:t>”, uma das propostas dos transportadores envolvidos na greve.</w:t>
      </w:r>
      <w:r w:rsidR="0043568A" w:rsidRPr="00F125C5">
        <w:rPr>
          <w:rFonts w:ascii="Arial" w:hAnsi="Arial" w:cs="Arial"/>
        </w:rPr>
        <w:t xml:space="preserve"> A proposta foi </w:t>
      </w:r>
      <w:r w:rsidR="00EA53EF" w:rsidRPr="00F125C5">
        <w:rPr>
          <w:rFonts w:ascii="Arial" w:hAnsi="Arial" w:cs="Arial"/>
        </w:rPr>
        <w:t xml:space="preserve">severamente criticada pela maioria das manifestações e posteriormente abandonada. </w:t>
      </w:r>
      <w:r w:rsidRPr="00F125C5">
        <w:rPr>
          <w:rFonts w:ascii="Arial" w:hAnsi="Arial" w:cs="Arial"/>
        </w:rPr>
        <w:t xml:space="preserve"> </w:t>
      </w:r>
    </w:p>
    <w:p w14:paraId="30A304B3" w14:textId="28872DAC" w:rsidR="00860969" w:rsidRPr="00F125C5" w:rsidRDefault="00860969" w:rsidP="00860969">
      <w:pPr>
        <w:spacing w:after="0" w:line="360" w:lineRule="auto"/>
        <w:ind w:firstLine="708"/>
        <w:jc w:val="both"/>
        <w:rPr>
          <w:rFonts w:ascii="Arial" w:hAnsi="Arial" w:cs="Arial"/>
        </w:rPr>
      </w:pPr>
      <w:r w:rsidRPr="00F125C5">
        <w:rPr>
          <w:rFonts w:ascii="Arial" w:hAnsi="Arial" w:cs="Arial"/>
        </w:rPr>
        <w:t xml:space="preserve">Subsequentemente, outras três </w:t>
      </w:r>
      <w:proofErr w:type="spellStart"/>
      <w:r w:rsidRPr="00F125C5">
        <w:rPr>
          <w:rFonts w:ascii="Arial" w:hAnsi="Arial" w:cs="Arial"/>
        </w:rPr>
        <w:t>TPCs</w:t>
      </w:r>
      <w:proofErr w:type="spellEnd"/>
      <w:r w:rsidRPr="00F125C5">
        <w:rPr>
          <w:rFonts w:ascii="Arial" w:hAnsi="Arial" w:cs="Arial"/>
        </w:rPr>
        <w:t xml:space="preserve">, com motivos e objetos diferentes, foram abertas. A TPC nº 02/2018 buscou colher contribuições sobre a revisão do art. 6º da Resolução ANP nº 43/2009, que proíbe a venda direta de etanol das usinas para os postos varejistas. Já a TPC nº 03/2018, </w:t>
      </w:r>
      <w:r w:rsidR="009927E0" w:rsidRPr="00F125C5">
        <w:rPr>
          <w:rFonts w:ascii="Arial" w:hAnsi="Arial" w:cs="Arial"/>
        </w:rPr>
        <w:t>objeto da presente manifestação</w:t>
      </w:r>
      <w:r w:rsidRPr="00F125C5">
        <w:rPr>
          <w:rFonts w:ascii="Arial" w:hAnsi="Arial" w:cs="Arial"/>
        </w:rPr>
        <w:t>, analisa “</w:t>
      </w:r>
      <w:r w:rsidRPr="00F125C5">
        <w:rPr>
          <w:rFonts w:ascii="Arial" w:hAnsi="Arial" w:cs="Arial"/>
          <w:i/>
          <w:iCs/>
        </w:rPr>
        <w:t>a verticalização na cadeia de distribuição de combustíveis</w:t>
      </w:r>
      <w:r w:rsidRPr="00F125C5">
        <w:rPr>
          <w:rFonts w:ascii="Arial" w:hAnsi="Arial" w:cs="Arial"/>
        </w:rPr>
        <w:t xml:space="preserve">”, indicando a possível revisão de importantes normas setoriais específicas. Por fim, a TPC nº 04/2018, </w:t>
      </w:r>
      <w:r w:rsidR="009927E0" w:rsidRPr="00F125C5">
        <w:rPr>
          <w:rFonts w:ascii="Arial" w:hAnsi="Arial" w:cs="Arial"/>
        </w:rPr>
        <w:t>atualmente em curso</w:t>
      </w:r>
      <w:r w:rsidRPr="00F125C5">
        <w:rPr>
          <w:rFonts w:ascii="Arial" w:hAnsi="Arial" w:cs="Arial"/>
        </w:rPr>
        <w:t>, abriu prazo para contribuições sobre a elaboração de um ato normativo que determinasse o “</w:t>
      </w:r>
      <w:r w:rsidRPr="00F125C5">
        <w:rPr>
          <w:rFonts w:ascii="Arial" w:hAnsi="Arial" w:cs="Arial"/>
          <w:i/>
          <w:iCs/>
        </w:rPr>
        <w:t>fim da tutela regulatória da fidelidade à bandeira</w:t>
      </w:r>
      <w:r w:rsidRPr="00F125C5">
        <w:rPr>
          <w:rFonts w:ascii="Arial" w:hAnsi="Arial" w:cs="Arial"/>
        </w:rPr>
        <w:t xml:space="preserve">”. Além destas </w:t>
      </w:r>
      <w:proofErr w:type="spellStart"/>
      <w:r w:rsidRPr="00F125C5">
        <w:rPr>
          <w:rFonts w:ascii="Arial" w:hAnsi="Arial" w:cs="Arial"/>
        </w:rPr>
        <w:t>TPCs</w:t>
      </w:r>
      <w:proofErr w:type="spellEnd"/>
      <w:r w:rsidRPr="00F125C5">
        <w:rPr>
          <w:rFonts w:ascii="Arial" w:hAnsi="Arial" w:cs="Arial"/>
        </w:rPr>
        <w:t>, outras propostas de revisão de normas importantíssimas e estruturais do setor foram apresentadas pela Agência, como a minuta de resolução dispondo sobre a transparência de preços e fórmulas no setor (Consulta Pública nº 20/2018)</w:t>
      </w:r>
      <w:r w:rsidR="00CA17F4" w:rsidRPr="00F125C5">
        <w:rPr>
          <w:rStyle w:val="Refdenotaderodap"/>
          <w:rFonts w:ascii="Arial" w:hAnsi="Arial" w:cs="Arial"/>
        </w:rPr>
        <w:footnoteReference w:id="11"/>
      </w:r>
      <w:r w:rsidRPr="00F125C5">
        <w:rPr>
          <w:rFonts w:ascii="Arial" w:hAnsi="Arial" w:cs="Arial"/>
        </w:rPr>
        <w:t>.</w:t>
      </w:r>
    </w:p>
    <w:p w14:paraId="78F82030" w14:textId="77777777" w:rsidR="00860969" w:rsidRPr="00F125C5" w:rsidRDefault="00860969" w:rsidP="00860969">
      <w:pPr>
        <w:spacing w:after="0" w:line="360" w:lineRule="auto"/>
        <w:ind w:firstLine="708"/>
        <w:jc w:val="both"/>
        <w:rPr>
          <w:rFonts w:ascii="Arial" w:hAnsi="Arial" w:cs="Arial"/>
        </w:rPr>
      </w:pPr>
      <w:r w:rsidRPr="00F125C5">
        <w:rPr>
          <w:rFonts w:ascii="Arial" w:hAnsi="Arial" w:cs="Arial"/>
        </w:rPr>
        <w:t>A abertura de parte das propostas elencadas acima (</w:t>
      </w:r>
      <w:proofErr w:type="spellStart"/>
      <w:r w:rsidRPr="00F125C5">
        <w:rPr>
          <w:rFonts w:ascii="Arial" w:hAnsi="Arial" w:cs="Arial"/>
        </w:rPr>
        <w:t>TPCs</w:t>
      </w:r>
      <w:proofErr w:type="spellEnd"/>
      <w:r w:rsidRPr="00F125C5">
        <w:rPr>
          <w:rFonts w:ascii="Arial" w:hAnsi="Arial" w:cs="Arial"/>
        </w:rPr>
        <w:t xml:space="preserve"> nº 2, 3 e 4) foi justificada nas medidas apresentadas pelo </w:t>
      </w:r>
      <w:proofErr w:type="spellStart"/>
      <w:r w:rsidRPr="00F125C5">
        <w:rPr>
          <w:rFonts w:ascii="Arial" w:hAnsi="Arial" w:cs="Arial"/>
        </w:rPr>
        <w:t>Cade</w:t>
      </w:r>
      <w:proofErr w:type="spellEnd"/>
      <w:r w:rsidRPr="00F125C5">
        <w:rPr>
          <w:rFonts w:ascii="Arial" w:hAnsi="Arial" w:cs="Arial"/>
        </w:rPr>
        <w:t xml:space="preserve"> no documento “</w:t>
      </w:r>
      <w:r w:rsidRPr="00F125C5">
        <w:rPr>
          <w:rFonts w:ascii="Arial" w:hAnsi="Arial" w:cs="Arial"/>
          <w:i/>
        </w:rPr>
        <w:t>Repensando o setor de combustíveis: medidas pró-concorrência”</w:t>
      </w:r>
      <w:r w:rsidRPr="00F125C5">
        <w:rPr>
          <w:rFonts w:ascii="Arial" w:hAnsi="Arial" w:cs="Arial"/>
        </w:rPr>
        <w:t xml:space="preserve">, bem como nas recomendações específicas do Conselho que sobrevieram após a crise de abastecimento que assolou o país no início do ano. </w:t>
      </w:r>
    </w:p>
    <w:p w14:paraId="6E015DFB" w14:textId="1ABAF0D0" w:rsidR="00860969" w:rsidRPr="00F125C5" w:rsidRDefault="00332E6C" w:rsidP="00860969">
      <w:pPr>
        <w:spacing w:after="0" w:line="360" w:lineRule="auto"/>
        <w:ind w:firstLine="708"/>
        <w:jc w:val="both"/>
        <w:rPr>
          <w:rFonts w:ascii="Arial" w:hAnsi="Arial" w:cs="Arial"/>
        </w:rPr>
      </w:pPr>
      <w:r w:rsidRPr="00F125C5">
        <w:rPr>
          <w:rFonts w:ascii="Arial" w:hAnsi="Arial" w:cs="Arial"/>
        </w:rPr>
        <w:t xml:space="preserve">No entanto, o processo recente deixou de lado um importante acúmulo de conhecimento. </w:t>
      </w:r>
      <w:r w:rsidR="00860969" w:rsidRPr="00F125C5">
        <w:rPr>
          <w:rFonts w:ascii="Arial" w:hAnsi="Arial" w:cs="Arial"/>
        </w:rPr>
        <w:t>Entre setembro de 2016 e fevereiro de 2017, o governo federal conduziu 23 reuniões com a participação de todas as instituições e agentes do mercado de combustíveis</w:t>
      </w:r>
      <w:r w:rsidR="00860969" w:rsidRPr="00F125C5">
        <w:rPr>
          <w:rStyle w:val="Refdenotaderodap"/>
          <w:rFonts w:ascii="Arial" w:hAnsi="Arial" w:cs="Arial"/>
        </w:rPr>
        <w:footnoteReference w:id="12"/>
      </w:r>
      <w:r w:rsidR="00860969" w:rsidRPr="00F125C5">
        <w:rPr>
          <w:rFonts w:ascii="Arial" w:hAnsi="Arial" w:cs="Arial"/>
        </w:rPr>
        <w:t xml:space="preserve"> para discutir o panorama do setor e identificar diretrizes, mudanças e </w:t>
      </w:r>
      <w:r w:rsidR="00860969" w:rsidRPr="00F125C5">
        <w:rPr>
          <w:rFonts w:ascii="Arial" w:hAnsi="Arial" w:cs="Arial"/>
        </w:rPr>
        <w:lastRenderedPageBreak/>
        <w:t xml:space="preserve">intervenções necessárias à reestruturação do mercado que se iniciava, motivada principalmente pela nova política de preços da Petrobras e pela redução da atuação da estatal no mercado </w:t>
      </w:r>
      <w:proofErr w:type="spellStart"/>
      <w:r w:rsidR="00860969" w:rsidRPr="00F125C5">
        <w:rPr>
          <w:rFonts w:ascii="Arial" w:hAnsi="Arial" w:cs="Arial"/>
          <w:i/>
        </w:rPr>
        <w:t>downstream</w:t>
      </w:r>
      <w:proofErr w:type="spellEnd"/>
      <w:r w:rsidR="00860969" w:rsidRPr="00F125C5">
        <w:rPr>
          <w:rFonts w:ascii="Arial" w:hAnsi="Arial" w:cs="Arial"/>
        </w:rPr>
        <w:t>.</w:t>
      </w:r>
      <w:r w:rsidR="00860969" w:rsidRPr="00F125C5">
        <w:rPr>
          <w:rStyle w:val="Refdenotaderodap"/>
          <w:rFonts w:ascii="Arial" w:hAnsi="Arial" w:cs="Arial"/>
        </w:rPr>
        <w:footnoteReference w:id="13"/>
      </w:r>
      <w:r w:rsidR="00860969" w:rsidRPr="00F125C5">
        <w:rPr>
          <w:rFonts w:ascii="Arial" w:hAnsi="Arial" w:cs="Arial"/>
        </w:rPr>
        <w:t xml:space="preserve"> Assim, como resultado direto destas discussões, o Ministério de Minas e Energia (MME), a ANP e a Empresa de Pesquisa Energética (EPE) lançaram, conjuntamente, a iniciativa “Combustível Brasil”, com o objetivo de “</w:t>
      </w:r>
      <w:r w:rsidR="00860969" w:rsidRPr="00F125C5">
        <w:rPr>
          <w:rFonts w:ascii="Arial" w:hAnsi="Arial" w:cs="Arial"/>
          <w:i/>
        </w:rPr>
        <w:t xml:space="preserve">buscar um mercado de combustíveis com oferta compatível com o crescimento da demanda, capaz de atender ao consumidor brasileiro em condições adequadas de preço e qualidade, em um ambiente regulatório objetivo, claro e favorável aos investimentos para expansão do setor de </w:t>
      </w:r>
      <w:proofErr w:type="spellStart"/>
      <w:r w:rsidR="00860969" w:rsidRPr="00F125C5">
        <w:rPr>
          <w:rFonts w:ascii="Arial" w:hAnsi="Arial" w:cs="Arial"/>
          <w:i/>
        </w:rPr>
        <w:t>downstream</w:t>
      </w:r>
      <w:proofErr w:type="spellEnd"/>
      <w:r w:rsidR="00860969" w:rsidRPr="00F125C5">
        <w:rPr>
          <w:rFonts w:ascii="Arial" w:hAnsi="Arial" w:cs="Arial"/>
        </w:rPr>
        <w:t>”.</w:t>
      </w:r>
      <w:r w:rsidR="00860969" w:rsidRPr="00F125C5">
        <w:rPr>
          <w:rFonts w:ascii="Arial" w:hAnsi="Arial" w:cs="Arial"/>
          <w:vertAlign w:val="superscript"/>
        </w:rPr>
        <w:footnoteReference w:id="14"/>
      </w:r>
    </w:p>
    <w:p w14:paraId="457F4D82" w14:textId="77777777" w:rsidR="00860969" w:rsidRPr="00F125C5" w:rsidRDefault="00860969" w:rsidP="00860969">
      <w:pPr>
        <w:spacing w:after="0" w:line="360" w:lineRule="auto"/>
        <w:ind w:firstLine="708"/>
        <w:jc w:val="both"/>
        <w:rPr>
          <w:rFonts w:ascii="Arial" w:hAnsi="Arial" w:cs="Arial"/>
        </w:rPr>
      </w:pPr>
      <w:r w:rsidRPr="00F125C5">
        <w:rPr>
          <w:rFonts w:ascii="Arial" w:hAnsi="Arial" w:cs="Arial"/>
        </w:rPr>
        <w:t>As discussões travadas nos inúmeros encontros setoriais que ocorreram no âmbito da iniciativa deram origem a 32 propostas para a promoção da concorrência e dos investimentos no setor de combustíveis, que foram objeto de Consulta Pública aberta pelo MME</w:t>
      </w:r>
      <w:r w:rsidRPr="00F125C5">
        <w:rPr>
          <w:rStyle w:val="Refdenotaderodap"/>
          <w:rFonts w:ascii="Arial" w:hAnsi="Arial" w:cs="Arial"/>
        </w:rPr>
        <w:footnoteReference w:id="15"/>
      </w:r>
      <w:r w:rsidRPr="00F125C5">
        <w:rPr>
          <w:rFonts w:ascii="Arial" w:hAnsi="Arial" w:cs="Arial"/>
        </w:rPr>
        <w:t xml:space="preserve">, por meio da qual qualquer interessado pôde propor alterações ao relatório e a qualquer uma das propostas. Com base nestas contribuições, uma versão final das propostas e do relatório foi consolidada, mais uma vez a partir de reunião que contou com a participação de atores governamentais e privados, realizada em 03 de maio de 2017. </w:t>
      </w:r>
    </w:p>
    <w:p w14:paraId="3FCD60A6" w14:textId="0E5246D3" w:rsidR="00860969" w:rsidRPr="00F125C5" w:rsidRDefault="00860969" w:rsidP="00860969">
      <w:pPr>
        <w:spacing w:after="0" w:line="360" w:lineRule="auto"/>
        <w:ind w:firstLine="708"/>
        <w:jc w:val="both"/>
        <w:rPr>
          <w:rFonts w:ascii="Arial" w:hAnsi="Arial" w:cs="Arial"/>
        </w:rPr>
      </w:pPr>
      <w:r w:rsidRPr="00F125C5">
        <w:rPr>
          <w:rFonts w:ascii="Arial" w:hAnsi="Arial" w:cs="Arial"/>
        </w:rPr>
        <w:t>Com a definição das diretrizes estratégicas para o setor e a criação do Comitê Técnico Integrado para o Desenvolvimento do Mercado de Combustíveis, demais Derivados de Petróleo e Biocombustíveis (CT-CB</w:t>
      </w:r>
      <w:proofErr w:type="gramStart"/>
      <w:r w:rsidRPr="00F125C5">
        <w:rPr>
          <w:rFonts w:ascii="Arial" w:hAnsi="Arial" w:cs="Arial"/>
        </w:rPr>
        <w:t>)</w:t>
      </w:r>
      <w:r w:rsidRPr="00F125C5">
        <w:rPr>
          <w:rFonts w:ascii="Arial" w:hAnsi="Arial" w:cs="Arial"/>
          <w:vertAlign w:val="superscript"/>
        </w:rPr>
        <w:t xml:space="preserve"> </w:t>
      </w:r>
      <w:r w:rsidRPr="00F125C5">
        <w:rPr>
          <w:rFonts w:ascii="Arial" w:hAnsi="Arial" w:cs="Arial"/>
          <w:vertAlign w:val="superscript"/>
        </w:rPr>
        <w:footnoteReference w:id="16"/>
      </w:r>
      <w:r w:rsidRPr="00F125C5">
        <w:rPr>
          <w:rFonts w:ascii="Arial" w:hAnsi="Arial" w:cs="Arial"/>
        </w:rPr>
        <w:t>,</w:t>
      </w:r>
      <w:proofErr w:type="gramEnd"/>
      <w:r w:rsidRPr="00F125C5">
        <w:rPr>
          <w:rFonts w:ascii="Arial" w:hAnsi="Arial" w:cs="Arial"/>
        </w:rPr>
        <w:t xml:space="preserve"> responsável pela implementação das propostas da iniciativa Combustível Brasil, o referido Comitê vem discutindo e propondo estas medidas. Inúmeras reuniões foram realizadas e houve divulgação de relatórios abrangentes com as decisões e propostas sugeridas pelos seus Subcomitês temáticos.</w:t>
      </w:r>
      <w:r w:rsidRPr="00F125C5">
        <w:rPr>
          <w:rFonts w:ascii="Arial" w:hAnsi="Arial" w:cs="Arial"/>
          <w:vertAlign w:val="superscript"/>
        </w:rPr>
        <w:footnoteReference w:id="17"/>
      </w:r>
    </w:p>
    <w:p w14:paraId="0573C527" w14:textId="36F1156E" w:rsidR="00332E6C" w:rsidRPr="00F125C5" w:rsidRDefault="00332E6C" w:rsidP="00860969">
      <w:pPr>
        <w:spacing w:after="0" w:line="360" w:lineRule="auto"/>
        <w:ind w:firstLine="708"/>
        <w:jc w:val="both"/>
        <w:rPr>
          <w:rFonts w:ascii="Arial" w:hAnsi="Arial" w:cs="Arial"/>
        </w:rPr>
      </w:pPr>
      <w:r w:rsidRPr="00F125C5">
        <w:rPr>
          <w:rFonts w:ascii="Arial" w:hAnsi="Arial" w:cs="Arial"/>
        </w:rPr>
        <w:t xml:space="preserve">Com efeito, por meio de Subcomitês Temáticos (Infraestrutura, Concorrência e Competitividade, Abastecimento e Tributação), o Comitê Técnico do Combustível Brasil </w:t>
      </w:r>
      <w:r w:rsidRPr="00F125C5">
        <w:rPr>
          <w:rFonts w:ascii="Arial" w:hAnsi="Arial" w:cs="Arial"/>
        </w:rPr>
        <w:lastRenderedPageBreak/>
        <w:t xml:space="preserve">vem conduzindo uma série de reuniões e trabalhos periódicos sobre reformas no setor, abrangendo objetivos buscados pela ANP nas </w:t>
      </w:r>
      <w:proofErr w:type="spellStart"/>
      <w:r w:rsidRPr="00F125C5">
        <w:rPr>
          <w:rFonts w:ascii="Arial" w:hAnsi="Arial" w:cs="Arial"/>
        </w:rPr>
        <w:t>TPCs</w:t>
      </w:r>
      <w:proofErr w:type="spellEnd"/>
      <w:r w:rsidRPr="00F125C5">
        <w:rPr>
          <w:rFonts w:ascii="Arial" w:hAnsi="Arial" w:cs="Arial"/>
        </w:rPr>
        <w:t xml:space="preserve"> atual ou recentemente em curso. A proposta nº 10, por exemplo, sob cuidados do Subcomitê de Concorrência, prevê justamente a “</w:t>
      </w:r>
      <w:r w:rsidRPr="00F125C5">
        <w:rPr>
          <w:rFonts w:ascii="Arial" w:hAnsi="Arial" w:cs="Arial"/>
          <w:i/>
        </w:rPr>
        <w:t>realização de estudos acerca das estruturas de mercado e da atuação integrada nos diversos elos da cadeia de combustíveis, biocombustíveis e demais derivados de petróleo, tendo em vista a necessidade de garantir a atratividade para novos investimentos”</w:t>
      </w:r>
      <w:r w:rsidRPr="00F125C5">
        <w:rPr>
          <w:rFonts w:ascii="Arial" w:hAnsi="Arial" w:cs="Arial"/>
        </w:rPr>
        <w:t>. De maneira conflitante à presente TPC, a proposta nº 21 prevê “</w:t>
      </w:r>
      <w:r w:rsidRPr="00F125C5">
        <w:rPr>
          <w:rFonts w:ascii="Arial" w:hAnsi="Arial" w:cs="Arial"/>
          <w:i/>
        </w:rPr>
        <w:t>Aperfeiçoar os mecanismos regulatórios de incentivos e de definição de condicionantes para atuação dos agentes de mercado, quando necessário, tendo como objetivo a promoção da concorrência, a mitigação das falhas e a prevenção do abuso de poder de mercado</w:t>
      </w:r>
      <w:r w:rsidRPr="00F125C5">
        <w:rPr>
          <w:rFonts w:ascii="Arial" w:hAnsi="Arial" w:cs="Arial"/>
        </w:rPr>
        <w:t>”.</w:t>
      </w:r>
      <w:r w:rsidRPr="00F125C5">
        <w:rPr>
          <w:rStyle w:val="Refdenotaderodap"/>
          <w:rFonts w:ascii="Arial" w:hAnsi="Arial" w:cs="Arial"/>
        </w:rPr>
        <w:footnoteReference w:id="18"/>
      </w:r>
    </w:p>
    <w:p w14:paraId="02A1C936" w14:textId="77777777" w:rsidR="00F707F7" w:rsidRPr="00F125C5" w:rsidRDefault="00154B10" w:rsidP="00860969">
      <w:pPr>
        <w:spacing w:after="0" w:line="360" w:lineRule="auto"/>
        <w:ind w:firstLine="708"/>
        <w:jc w:val="both"/>
        <w:rPr>
          <w:rFonts w:ascii="Arial" w:hAnsi="Arial" w:cs="Arial"/>
        </w:rPr>
      </w:pPr>
      <w:r w:rsidRPr="00F125C5">
        <w:rPr>
          <w:rFonts w:ascii="Arial" w:hAnsi="Arial" w:cs="Arial"/>
        </w:rPr>
        <w:t xml:space="preserve">A ausência de qualquer Análise de Impacto Regulatório </w:t>
      </w:r>
      <w:r w:rsidR="00787DB5" w:rsidRPr="00F125C5">
        <w:rPr>
          <w:rFonts w:ascii="Arial" w:hAnsi="Arial" w:cs="Arial"/>
        </w:rPr>
        <w:t>(</w:t>
      </w:r>
      <w:r w:rsidR="00EE6340" w:rsidRPr="00F125C5">
        <w:rPr>
          <w:rFonts w:ascii="Arial" w:hAnsi="Arial" w:cs="Arial"/>
        </w:rPr>
        <w:t>“</w:t>
      </w:r>
      <w:r w:rsidR="00787DB5" w:rsidRPr="00F125C5">
        <w:rPr>
          <w:rFonts w:ascii="Arial" w:hAnsi="Arial" w:cs="Arial"/>
        </w:rPr>
        <w:t>AIR</w:t>
      </w:r>
      <w:r w:rsidR="00EE6340" w:rsidRPr="00F125C5">
        <w:rPr>
          <w:rFonts w:ascii="Arial" w:hAnsi="Arial" w:cs="Arial"/>
        </w:rPr>
        <w:t>”</w:t>
      </w:r>
      <w:r w:rsidR="00787DB5" w:rsidRPr="00F125C5">
        <w:rPr>
          <w:rFonts w:ascii="Arial" w:hAnsi="Arial" w:cs="Arial"/>
        </w:rPr>
        <w:t xml:space="preserve">) </w:t>
      </w:r>
      <w:r w:rsidRPr="00F125C5">
        <w:rPr>
          <w:rFonts w:ascii="Arial" w:hAnsi="Arial" w:cs="Arial"/>
        </w:rPr>
        <w:t>potencializa</w:t>
      </w:r>
      <w:r w:rsidR="00E741E5" w:rsidRPr="00F125C5">
        <w:rPr>
          <w:rFonts w:ascii="Arial" w:hAnsi="Arial" w:cs="Arial"/>
        </w:rPr>
        <w:t xml:space="preserve"> os riscos </w:t>
      </w:r>
      <w:r w:rsidR="002F2C98" w:rsidRPr="00F125C5">
        <w:rPr>
          <w:rFonts w:ascii="Arial" w:hAnsi="Arial" w:cs="Arial"/>
        </w:rPr>
        <w:t>regulatórios e concorrenciais envolvidos com as ações recentes da ANP. Cumpre pontuar que, r</w:t>
      </w:r>
      <w:r w:rsidR="00E87304" w:rsidRPr="00F125C5">
        <w:rPr>
          <w:rFonts w:ascii="Arial" w:hAnsi="Arial" w:cs="Arial"/>
        </w:rPr>
        <w:t>ecentemente, no Fórum Nacional da Concorrência e Regulação (“</w:t>
      </w:r>
      <w:proofErr w:type="spellStart"/>
      <w:r w:rsidR="00E87304" w:rsidRPr="00F125C5">
        <w:rPr>
          <w:rFonts w:ascii="Arial" w:hAnsi="Arial" w:cs="Arial"/>
        </w:rPr>
        <w:t>Fonacre</w:t>
      </w:r>
      <w:proofErr w:type="spellEnd"/>
      <w:r w:rsidR="00E87304" w:rsidRPr="00F125C5">
        <w:rPr>
          <w:rFonts w:ascii="Arial" w:hAnsi="Arial" w:cs="Arial"/>
        </w:rPr>
        <w:t xml:space="preserve">”) da Associação dos Juízes Federais do Brasil, enunciados e recomendações administrativas tratando da correlação entre concorrência e regulação foram aprovados, dentre os quais </w:t>
      </w:r>
      <w:r w:rsidR="00787DB5" w:rsidRPr="00F125C5">
        <w:rPr>
          <w:rFonts w:ascii="Arial" w:hAnsi="Arial" w:cs="Arial"/>
        </w:rPr>
        <w:t xml:space="preserve">destaca-se </w:t>
      </w:r>
      <w:r w:rsidR="00E87304" w:rsidRPr="00F125C5">
        <w:rPr>
          <w:rFonts w:ascii="Arial" w:hAnsi="Arial" w:cs="Arial"/>
        </w:rPr>
        <w:t xml:space="preserve">a recomendação de </w:t>
      </w:r>
      <w:r w:rsidR="00787DB5" w:rsidRPr="00F125C5">
        <w:rPr>
          <w:rFonts w:ascii="Arial" w:hAnsi="Arial" w:cs="Arial"/>
        </w:rPr>
        <w:t xml:space="preserve">obrigatoriedade de realização de </w:t>
      </w:r>
      <w:r w:rsidR="00E87304" w:rsidRPr="00F125C5">
        <w:rPr>
          <w:rFonts w:ascii="Arial" w:hAnsi="Arial" w:cs="Arial"/>
        </w:rPr>
        <w:t>AIR de todos os atos das Agências Reguladoras.</w:t>
      </w:r>
      <w:r w:rsidR="00E87304" w:rsidRPr="00F125C5">
        <w:rPr>
          <w:rFonts w:ascii="Arial" w:hAnsi="Arial" w:cs="Arial"/>
          <w:vertAlign w:val="superscript"/>
        </w:rPr>
        <w:footnoteReference w:id="19"/>
      </w:r>
      <w:r w:rsidR="00E87304" w:rsidRPr="00F125C5">
        <w:rPr>
          <w:rFonts w:ascii="Arial" w:hAnsi="Arial" w:cs="Arial"/>
        </w:rPr>
        <w:t xml:space="preserve"> </w:t>
      </w:r>
      <w:r w:rsidR="00787DB5" w:rsidRPr="00F125C5">
        <w:rPr>
          <w:rFonts w:ascii="Arial" w:hAnsi="Arial" w:cs="Arial"/>
        </w:rPr>
        <w:t>Com efeito, p</w:t>
      </w:r>
      <w:r w:rsidR="00E87304" w:rsidRPr="00F125C5">
        <w:rPr>
          <w:rFonts w:ascii="Arial" w:hAnsi="Arial" w:cs="Arial"/>
        </w:rPr>
        <w:t>or meio do enunciado nº 3, “</w:t>
      </w:r>
      <w:r w:rsidR="00E87304" w:rsidRPr="00F125C5">
        <w:rPr>
          <w:rFonts w:ascii="Arial" w:hAnsi="Arial" w:cs="Arial"/>
          <w:i/>
        </w:rPr>
        <w:t>recomenda-se que sejam obrigatoriamente realizados estudos de impacto dos atos de regulação a serem editados pelas agências reguladoras, necessariamente baseado em estudos técnicos prévios e disponibilizados para o público.</w:t>
      </w:r>
      <w:r w:rsidR="00E87304" w:rsidRPr="00F125C5">
        <w:rPr>
          <w:rFonts w:ascii="Arial" w:hAnsi="Arial" w:cs="Arial"/>
        </w:rPr>
        <w:t xml:space="preserve"> </w:t>
      </w:r>
    </w:p>
    <w:p w14:paraId="1019A8E3" w14:textId="4FE2BFC7" w:rsidR="00C85E04" w:rsidRPr="00F125C5" w:rsidRDefault="00F2206C" w:rsidP="00860969">
      <w:pPr>
        <w:spacing w:after="0" w:line="360" w:lineRule="auto"/>
        <w:ind w:firstLine="708"/>
        <w:jc w:val="both"/>
        <w:rPr>
          <w:rFonts w:ascii="Arial" w:hAnsi="Arial" w:cs="Arial"/>
        </w:rPr>
      </w:pPr>
      <w:r w:rsidRPr="00F125C5">
        <w:rPr>
          <w:rFonts w:ascii="Arial" w:hAnsi="Arial" w:cs="Arial"/>
        </w:rPr>
        <w:t xml:space="preserve">O </w:t>
      </w:r>
      <w:r w:rsidR="00860969" w:rsidRPr="00F125C5">
        <w:rPr>
          <w:rFonts w:ascii="Arial" w:hAnsi="Arial" w:cs="Arial"/>
        </w:rPr>
        <w:t xml:space="preserve">contexto deliberativo </w:t>
      </w:r>
      <w:r w:rsidRPr="00F125C5">
        <w:rPr>
          <w:rFonts w:ascii="Arial" w:hAnsi="Arial" w:cs="Arial"/>
        </w:rPr>
        <w:t xml:space="preserve">construído no âmbito da iniciativa Combustível Brasil </w:t>
      </w:r>
      <w:r w:rsidR="00860969" w:rsidRPr="00F125C5">
        <w:rPr>
          <w:rFonts w:ascii="Arial" w:hAnsi="Arial" w:cs="Arial"/>
        </w:rPr>
        <w:t xml:space="preserve">foi desconsiderando pela revisão proposta pela ANP por meio das </w:t>
      </w:r>
      <w:proofErr w:type="spellStart"/>
      <w:r w:rsidR="00860969" w:rsidRPr="00F125C5">
        <w:rPr>
          <w:rFonts w:ascii="Arial" w:hAnsi="Arial" w:cs="Arial"/>
        </w:rPr>
        <w:t>TPCs</w:t>
      </w:r>
      <w:proofErr w:type="spellEnd"/>
      <w:r w:rsidR="00860969" w:rsidRPr="00F125C5">
        <w:rPr>
          <w:rFonts w:ascii="Arial" w:hAnsi="Arial" w:cs="Arial"/>
        </w:rPr>
        <w:t xml:space="preserve"> recentemente abertas – as quais, ressalta-se, não contam com previsão em qualquer regulamento da Agência. A atual revisão vai de encontro ao que vinha sendo deliberado pela Agência juntamente com outras instituições e agentes regulados, tanto no conteúdo quanto na forma de condução do debate, e vem gerando uma enorme insegurança e instabilidade aos agentes econômicos que atuam no mercado de combustíveis. Além da ação contraditória, a ANP sequer justificou o abandono da iniciativa Combustível Brasil, tampouco os motivos pelos quais as novas diretrizes foram priorizadas. A ausência de coordenação entre essas duas esferas também traz inúmeras preocupações à garantia de investimentos setoriais. Cumpre pontuar que a iniciativa Combustível Brasil conjuga </w:t>
      </w:r>
      <w:r w:rsidR="003910B6" w:rsidRPr="00F125C5">
        <w:rPr>
          <w:rFonts w:ascii="Arial" w:hAnsi="Arial" w:cs="Arial"/>
        </w:rPr>
        <w:lastRenderedPageBreak/>
        <w:t xml:space="preserve">a ampliação da concorrência, </w:t>
      </w:r>
      <w:r w:rsidR="00860969" w:rsidRPr="00F125C5">
        <w:rPr>
          <w:rFonts w:ascii="Arial" w:hAnsi="Arial" w:cs="Arial"/>
        </w:rPr>
        <w:t>o aumento da competitividade ao estímulo a investimentos na infraestrutura do setor</w:t>
      </w:r>
      <w:r w:rsidR="003910B6" w:rsidRPr="00F125C5">
        <w:rPr>
          <w:rFonts w:ascii="Arial" w:hAnsi="Arial" w:cs="Arial"/>
        </w:rPr>
        <w:t>, o que</w:t>
      </w:r>
      <w:r w:rsidR="00A607E5" w:rsidRPr="00F125C5">
        <w:rPr>
          <w:rFonts w:ascii="Arial" w:hAnsi="Arial" w:cs="Arial"/>
        </w:rPr>
        <w:t>,</w:t>
      </w:r>
      <w:r w:rsidR="003910B6" w:rsidRPr="00F125C5">
        <w:rPr>
          <w:rFonts w:ascii="Arial" w:hAnsi="Arial" w:cs="Arial"/>
        </w:rPr>
        <w:t xml:space="preserve"> ao nosso ver, seria a forma mais correta de promover mudanças que realmente venham a beneficiar os consumidores brasileiros. </w:t>
      </w:r>
    </w:p>
    <w:p w14:paraId="501DBC38" w14:textId="60448954" w:rsidR="00860969" w:rsidRPr="00F125C5" w:rsidRDefault="003910B6" w:rsidP="00860969">
      <w:pPr>
        <w:spacing w:after="0" w:line="360" w:lineRule="auto"/>
        <w:ind w:firstLine="708"/>
        <w:jc w:val="both"/>
        <w:rPr>
          <w:rFonts w:ascii="Arial" w:hAnsi="Arial" w:cs="Arial"/>
        </w:rPr>
      </w:pPr>
      <w:r w:rsidRPr="00F125C5">
        <w:rPr>
          <w:rFonts w:ascii="Arial" w:hAnsi="Arial" w:cs="Arial"/>
        </w:rPr>
        <w:t xml:space="preserve">Feitas essas ponderações de caráter preliminar e procedimental, nos concentramos agora no mérito da presente TPC. </w:t>
      </w:r>
    </w:p>
    <w:p w14:paraId="78E9B9B0" w14:textId="77777777" w:rsidR="00E25189" w:rsidRPr="00F125C5" w:rsidRDefault="00E25189" w:rsidP="005573AA">
      <w:pPr>
        <w:pStyle w:val="PargrafodaLista"/>
        <w:tabs>
          <w:tab w:val="left" w:pos="426"/>
        </w:tabs>
        <w:spacing w:after="0" w:line="360" w:lineRule="auto"/>
        <w:ind w:left="0"/>
        <w:jc w:val="both"/>
        <w:rPr>
          <w:rFonts w:ascii="Arial" w:hAnsi="Arial" w:cs="Arial"/>
          <w:b/>
        </w:rPr>
      </w:pPr>
    </w:p>
    <w:p w14:paraId="1408F83B" w14:textId="2DADC9BC" w:rsidR="00756844" w:rsidRPr="00F125C5" w:rsidRDefault="003E47DB" w:rsidP="003E47DB">
      <w:pPr>
        <w:tabs>
          <w:tab w:val="left" w:pos="426"/>
        </w:tabs>
        <w:spacing w:after="0" w:line="360" w:lineRule="auto"/>
        <w:jc w:val="both"/>
        <w:rPr>
          <w:rFonts w:ascii="Arial" w:hAnsi="Arial" w:cs="Arial"/>
          <w:b/>
        </w:rPr>
      </w:pPr>
      <w:r w:rsidRPr="00F125C5">
        <w:rPr>
          <w:rFonts w:ascii="Arial" w:hAnsi="Arial" w:cs="Arial"/>
          <w:b/>
        </w:rPr>
        <w:t xml:space="preserve">2. </w:t>
      </w:r>
      <w:r w:rsidR="00F707F7" w:rsidRPr="00F125C5">
        <w:rPr>
          <w:rFonts w:ascii="Arial" w:hAnsi="Arial" w:cs="Arial"/>
          <w:b/>
        </w:rPr>
        <w:t xml:space="preserve">CRÍTICAS AO </w:t>
      </w:r>
      <w:r w:rsidR="00756844" w:rsidRPr="00F125C5">
        <w:rPr>
          <w:rFonts w:ascii="Arial" w:hAnsi="Arial" w:cs="Arial"/>
          <w:b/>
        </w:rPr>
        <w:t>ESTUDO</w:t>
      </w:r>
      <w:r w:rsidR="008355C1" w:rsidRPr="00F125C5">
        <w:rPr>
          <w:rFonts w:ascii="Arial" w:hAnsi="Arial" w:cs="Arial"/>
          <w:b/>
        </w:rPr>
        <w:t xml:space="preserve"> “</w:t>
      </w:r>
      <w:r w:rsidR="008355C1" w:rsidRPr="00F125C5">
        <w:rPr>
          <w:rFonts w:ascii="Arial" w:hAnsi="Arial" w:cs="Arial"/>
          <w:b/>
          <w:i/>
        </w:rPr>
        <w:t>REPENSANDO O SETOR DE COMBUSTÍVES”</w:t>
      </w:r>
      <w:r w:rsidR="00600248" w:rsidRPr="00F125C5">
        <w:rPr>
          <w:rFonts w:ascii="Arial" w:hAnsi="Arial" w:cs="Arial"/>
          <w:b/>
          <w:i/>
        </w:rPr>
        <w:t xml:space="preserve">, </w:t>
      </w:r>
      <w:r w:rsidR="00643365" w:rsidRPr="00F125C5">
        <w:rPr>
          <w:rFonts w:ascii="Arial" w:hAnsi="Arial" w:cs="Arial"/>
          <w:b/>
        </w:rPr>
        <w:t xml:space="preserve">DO </w:t>
      </w:r>
      <w:r w:rsidR="008355C1" w:rsidRPr="00F125C5">
        <w:rPr>
          <w:rFonts w:ascii="Arial" w:hAnsi="Arial" w:cs="Arial"/>
          <w:b/>
        </w:rPr>
        <w:t>DEE-CADE</w:t>
      </w:r>
    </w:p>
    <w:p w14:paraId="5C3F1A42" w14:textId="77777777" w:rsidR="004F1DB2" w:rsidRPr="00F125C5" w:rsidRDefault="004F1DB2" w:rsidP="003E47DB">
      <w:pPr>
        <w:tabs>
          <w:tab w:val="left" w:pos="426"/>
        </w:tabs>
        <w:spacing w:after="0" w:line="360" w:lineRule="auto"/>
        <w:jc w:val="both"/>
        <w:rPr>
          <w:rFonts w:ascii="Arial" w:hAnsi="Arial" w:cs="Arial"/>
          <w:b/>
        </w:rPr>
      </w:pPr>
    </w:p>
    <w:p w14:paraId="68509624" w14:textId="140F7050" w:rsidR="00F53404" w:rsidRPr="00F125C5" w:rsidRDefault="00217FFB" w:rsidP="00F53404">
      <w:pPr>
        <w:pStyle w:val="PargrafodaLista"/>
        <w:tabs>
          <w:tab w:val="left" w:pos="709"/>
        </w:tabs>
        <w:spacing w:after="0" w:line="360" w:lineRule="auto"/>
        <w:ind w:left="0" w:firstLine="709"/>
        <w:jc w:val="both"/>
        <w:rPr>
          <w:rFonts w:ascii="Arial" w:hAnsi="Arial" w:cs="Arial"/>
        </w:rPr>
      </w:pPr>
      <w:r w:rsidRPr="00F125C5">
        <w:rPr>
          <w:rFonts w:ascii="Arial" w:hAnsi="Arial" w:cs="Arial"/>
        </w:rPr>
        <w:t xml:space="preserve">Apresentadas as críticas ao processo regulatório que vem sendo conduzido pela ANP nos últimos meses, </w:t>
      </w:r>
      <w:r w:rsidR="00C11D74" w:rsidRPr="00F125C5">
        <w:rPr>
          <w:rFonts w:ascii="Arial" w:hAnsi="Arial" w:cs="Arial"/>
        </w:rPr>
        <w:t>passamos a</w:t>
      </w:r>
      <w:r w:rsidR="006609FD" w:rsidRPr="00F125C5">
        <w:rPr>
          <w:rFonts w:ascii="Arial" w:hAnsi="Arial" w:cs="Arial"/>
        </w:rPr>
        <w:t xml:space="preserve"> apresentar </w:t>
      </w:r>
      <w:r w:rsidR="008355C1" w:rsidRPr="00F125C5">
        <w:rPr>
          <w:rFonts w:ascii="Arial" w:hAnsi="Arial" w:cs="Arial"/>
        </w:rPr>
        <w:t xml:space="preserve">os motivos pelos quais </w:t>
      </w:r>
      <w:r w:rsidR="00C966E1" w:rsidRPr="00F125C5">
        <w:rPr>
          <w:rFonts w:ascii="Arial" w:hAnsi="Arial" w:cs="Arial"/>
        </w:rPr>
        <w:t xml:space="preserve">o </w:t>
      </w:r>
      <w:r w:rsidR="003476EB" w:rsidRPr="00F125C5">
        <w:rPr>
          <w:rFonts w:ascii="Arial" w:hAnsi="Arial" w:cs="Arial"/>
        </w:rPr>
        <w:t xml:space="preserve">exemplo norte-americano não é adequado para </w:t>
      </w:r>
      <w:r w:rsidR="008355C1" w:rsidRPr="00F125C5">
        <w:rPr>
          <w:rFonts w:ascii="Arial" w:hAnsi="Arial" w:cs="Arial"/>
        </w:rPr>
        <w:t>embasar a defesa de uma política de verticalização no mercado de combustíveis brasileiro, ao menos sem que diferenças substanciais e relevantíssimas que os mercados analisados apresentam em relação ao Brasil</w:t>
      </w:r>
      <w:r w:rsidR="00A12E64" w:rsidRPr="00F125C5">
        <w:rPr>
          <w:rFonts w:ascii="Arial" w:hAnsi="Arial" w:cs="Arial"/>
        </w:rPr>
        <w:t xml:space="preserve"> sejam devidamente </w:t>
      </w:r>
      <w:r w:rsidR="00014F75" w:rsidRPr="00F125C5">
        <w:rPr>
          <w:rFonts w:ascii="Arial" w:hAnsi="Arial" w:cs="Arial"/>
        </w:rPr>
        <w:t>reconhecidas e endereçadas</w:t>
      </w:r>
      <w:r w:rsidR="008355C1" w:rsidRPr="00F125C5">
        <w:rPr>
          <w:rFonts w:ascii="Arial" w:hAnsi="Arial" w:cs="Arial"/>
        </w:rPr>
        <w:t xml:space="preserve">. </w:t>
      </w:r>
    </w:p>
    <w:p w14:paraId="7A3884CD" w14:textId="40553BF3" w:rsidR="00F53404" w:rsidRPr="00F125C5" w:rsidRDefault="00F53404" w:rsidP="00F53404">
      <w:pPr>
        <w:pStyle w:val="PargrafodaLista"/>
        <w:tabs>
          <w:tab w:val="left" w:pos="709"/>
        </w:tabs>
        <w:spacing w:after="0" w:line="360" w:lineRule="auto"/>
        <w:ind w:left="0" w:firstLine="709"/>
        <w:jc w:val="both"/>
        <w:rPr>
          <w:rFonts w:ascii="Arial" w:hAnsi="Arial" w:cs="Arial"/>
        </w:rPr>
      </w:pPr>
      <w:r w:rsidRPr="00F125C5">
        <w:rPr>
          <w:rFonts w:ascii="Arial" w:hAnsi="Arial" w:cs="Arial"/>
        </w:rPr>
        <w:t xml:space="preserve">Como destacado no início desta manifestação, a </w:t>
      </w:r>
      <w:r w:rsidR="00C85E04" w:rsidRPr="00F125C5">
        <w:rPr>
          <w:rFonts w:ascii="Arial" w:hAnsi="Arial" w:cs="Arial"/>
        </w:rPr>
        <w:t xml:space="preserve">possibilidade de maior </w:t>
      </w:r>
      <w:r w:rsidRPr="00F125C5">
        <w:rPr>
          <w:rFonts w:ascii="Arial" w:hAnsi="Arial" w:cs="Arial"/>
        </w:rPr>
        <w:t xml:space="preserve">verticalização </w:t>
      </w:r>
      <w:r w:rsidR="009C165A" w:rsidRPr="00F125C5">
        <w:rPr>
          <w:rFonts w:ascii="Arial" w:hAnsi="Arial" w:cs="Arial"/>
        </w:rPr>
        <w:t>d</w:t>
      </w:r>
      <w:r w:rsidR="00A57826" w:rsidRPr="00F125C5">
        <w:rPr>
          <w:rFonts w:ascii="Arial" w:hAnsi="Arial" w:cs="Arial"/>
        </w:rPr>
        <w:t xml:space="preserve">o setor de combustíveis </w:t>
      </w:r>
      <w:r w:rsidR="000D4B09" w:rsidRPr="00F125C5">
        <w:rPr>
          <w:rFonts w:ascii="Arial" w:hAnsi="Arial" w:cs="Arial"/>
        </w:rPr>
        <w:t xml:space="preserve">foi uma das medidas propostas pelo </w:t>
      </w:r>
      <w:proofErr w:type="spellStart"/>
      <w:r w:rsidR="000D4B09" w:rsidRPr="00F125C5">
        <w:rPr>
          <w:rFonts w:ascii="Arial" w:hAnsi="Arial" w:cs="Arial"/>
        </w:rPr>
        <w:t>Cade</w:t>
      </w:r>
      <w:proofErr w:type="spellEnd"/>
      <w:r w:rsidR="000D4B09" w:rsidRPr="00F125C5">
        <w:rPr>
          <w:rFonts w:ascii="Arial" w:hAnsi="Arial" w:cs="Arial"/>
        </w:rPr>
        <w:t xml:space="preserve"> </w:t>
      </w:r>
      <w:r w:rsidR="00C966E1" w:rsidRPr="00F125C5">
        <w:rPr>
          <w:rFonts w:ascii="Arial" w:hAnsi="Arial" w:cs="Arial"/>
        </w:rPr>
        <w:t>no documento “</w:t>
      </w:r>
      <w:r w:rsidR="00C966E1" w:rsidRPr="00F125C5">
        <w:rPr>
          <w:rFonts w:ascii="Arial" w:hAnsi="Arial" w:cs="Arial"/>
          <w:i/>
        </w:rPr>
        <w:t>Repensando o setor de combustíveis: medidas pró-concorrência”,</w:t>
      </w:r>
      <w:r w:rsidR="00C966E1" w:rsidRPr="00F125C5">
        <w:rPr>
          <w:rStyle w:val="Refdenotaderodap"/>
          <w:rFonts w:ascii="Arial" w:hAnsi="Arial" w:cs="Arial"/>
        </w:rPr>
        <w:footnoteReference w:id="20"/>
      </w:r>
      <w:r w:rsidR="00C966E1" w:rsidRPr="00F125C5">
        <w:rPr>
          <w:rFonts w:ascii="Arial" w:hAnsi="Arial" w:cs="Arial"/>
          <w:i/>
        </w:rPr>
        <w:t xml:space="preserve"> </w:t>
      </w:r>
      <w:r w:rsidR="00C966E1" w:rsidRPr="00F125C5">
        <w:rPr>
          <w:rFonts w:ascii="Arial" w:hAnsi="Arial" w:cs="Arial"/>
        </w:rPr>
        <w:t>publicado em maio de 2018.</w:t>
      </w:r>
      <w:r w:rsidR="00B4587E" w:rsidRPr="00F125C5">
        <w:rPr>
          <w:rFonts w:ascii="Arial" w:hAnsi="Arial" w:cs="Arial"/>
        </w:rPr>
        <w:t xml:space="preserve"> Na ocasião, </w:t>
      </w:r>
      <w:r w:rsidR="00F960EC" w:rsidRPr="00F125C5">
        <w:rPr>
          <w:rFonts w:ascii="Arial" w:hAnsi="Arial" w:cs="Arial"/>
        </w:rPr>
        <w:t xml:space="preserve">a autoridade antitruste </w:t>
      </w:r>
      <w:r w:rsidR="00EA7EDA" w:rsidRPr="00F125C5">
        <w:rPr>
          <w:rFonts w:ascii="Arial" w:hAnsi="Arial" w:cs="Arial"/>
        </w:rPr>
        <w:t>concluiu</w:t>
      </w:r>
      <w:r w:rsidR="000F28F0" w:rsidRPr="00F125C5">
        <w:rPr>
          <w:rFonts w:ascii="Arial" w:hAnsi="Arial" w:cs="Arial"/>
        </w:rPr>
        <w:t xml:space="preserve"> </w:t>
      </w:r>
      <w:r w:rsidR="00EA7EDA" w:rsidRPr="00F125C5">
        <w:rPr>
          <w:rFonts w:ascii="Arial" w:hAnsi="Arial" w:cs="Arial"/>
        </w:rPr>
        <w:t xml:space="preserve">que </w:t>
      </w:r>
      <w:r w:rsidR="00B671ED" w:rsidRPr="00F125C5">
        <w:rPr>
          <w:rFonts w:ascii="Arial" w:hAnsi="Arial" w:cs="Arial"/>
        </w:rPr>
        <w:t xml:space="preserve">a regra de vedação à verticalização </w:t>
      </w:r>
      <w:r w:rsidR="000F28F0" w:rsidRPr="00F125C5">
        <w:rPr>
          <w:rFonts w:ascii="Arial" w:hAnsi="Arial" w:cs="Arial"/>
        </w:rPr>
        <w:t>p</w:t>
      </w:r>
      <w:r w:rsidR="002B79F5" w:rsidRPr="00F125C5">
        <w:rPr>
          <w:rFonts w:ascii="Arial" w:hAnsi="Arial" w:cs="Arial"/>
        </w:rPr>
        <w:t xml:space="preserve">ode ter como resultado a diminuição do bem-estar do consumidor, o aumento de preço e custos e a diminuição </w:t>
      </w:r>
      <w:r w:rsidR="00842B97" w:rsidRPr="00F125C5">
        <w:rPr>
          <w:rFonts w:ascii="Arial" w:hAnsi="Arial" w:cs="Arial"/>
        </w:rPr>
        <w:t>da quantidade ofertada</w:t>
      </w:r>
      <w:r w:rsidR="00BE4F0C" w:rsidRPr="00F125C5">
        <w:rPr>
          <w:rFonts w:ascii="Arial" w:hAnsi="Arial" w:cs="Arial"/>
        </w:rPr>
        <w:t xml:space="preserve">. Assim, </w:t>
      </w:r>
      <w:r w:rsidR="00FD56E4" w:rsidRPr="00F125C5">
        <w:rPr>
          <w:rFonts w:ascii="Arial" w:hAnsi="Arial" w:cs="Arial"/>
        </w:rPr>
        <w:t xml:space="preserve">para a autoridade, </w:t>
      </w:r>
      <w:r w:rsidR="006023F5" w:rsidRPr="00F125C5">
        <w:rPr>
          <w:rFonts w:ascii="Arial" w:hAnsi="Arial" w:cs="Arial"/>
        </w:rPr>
        <w:t xml:space="preserve">rever tal regra </w:t>
      </w:r>
      <w:r w:rsidR="008A150A" w:rsidRPr="00F125C5">
        <w:rPr>
          <w:rFonts w:ascii="Arial" w:hAnsi="Arial" w:cs="Arial"/>
        </w:rPr>
        <w:t xml:space="preserve">tenderia a eliminar a dupla margem, diminuir custos e, eventualmente, acirrar a rivalidade </w:t>
      </w:r>
      <w:proofErr w:type="spellStart"/>
      <w:r w:rsidR="008A150A" w:rsidRPr="00F125C5">
        <w:rPr>
          <w:rFonts w:ascii="Arial" w:hAnsi="Arial" w:cs="Arial"/>
        </w:rPr>
        <w:t>intermarcas</w:t>
      </w:r>
      <w:proofErr w:type="spellEnd"/>
      <w:r w:rsidR="008A150A" w:rsidRPr="00F125C5">
        <w:rPr>
          <w:rFonts w:ascii="Arial" w:hAnsi="Arial" w:cs="Arial"/>
        </w:rPr>
        <w:t>.</w:t>
      </w:r>
      <w:r w:rsidR="009E5C24" w:rsidRPr="00F125C5">
        <w:rPr>
          <w:rStyle w:val="Refdenotaderodap"/>
          <w:rFonts w:ascii="Arial" w:hAnsi="Arial" w:cs="Arial"/>
        </w:rPr>
        <w:footnoteReference w:id="21"/>
      </w:r>
      <w:r w:rsidR="008A150A" w:rsidRPr="00F125C5">
        <w:rPr>
          <w:rFonts w:ascii="Arial" w:hAnsi="Arial" w:cs="Arial"/>
        </w:rPr>
        <w:t xml:space="preserve"> </w:t>
      </w:r>
    </w:p>
    <w:p w14:paraId="26E3B417" w14:textId="16868377" w:rsidR="008355C1" w:rsidRPr="00F125C5" w:rsidRDefault="003476EB" w:rsidP="001D5335">
      <w:pPr>
        <w:pStyle w:val="PargrafodaLista"/>
        <w:tabs>
          <w:tab w:val="left" w:pos="709"/>
        </w:tabs>
        <w:spacing w:after="0" w:line="360" w:lineRule="auto"/>
        <w:ind w:left="0" w:firstLine="709"/>
        <w:jc w:val="both"/>
        <w:rPr>
          <w:rFonts w:ascii="Arial" w:hAnsi="Arial" w:cs="Arial"/>
        </w:rPr>
      </w:pPr>
      <w:r w:rsidRPr="00F125C5">
        <w:rPr>
          <w:rFonts w:ascii="Arial" w:hAnsi="Arial" w:cs="Arial"/>
        </w:rPr>
        <w:t xml:space="preserve">Porém, </w:t>
      </w:r>
      <w:r w:rsidR="00C85E04" w:rsidRPr="00F125C5">
        <w:rPr>
          <w:rFonts w:ascii="Arial" w:hAnsi="Arial" w:cs="Arial"/>
        </w:rPr>
        <w:t xml:space="preserve">as evidências que guiaram </w:t>
      </w:r>
      <w:r w:rsidRPr="00F125C5">
        <w:rPr>
          <w:rFonts w:ascii="Arial" w:hAnsi="Arial" w:cs="Arial"/>
        </w:rPr>
        <w:t xml:space="preserve">essa avaliação inicial </w:t>
      </w:r>
      <w:r w:rsidR="00C85E04" w:rsidRPr="00F125C5">
        <w:rPr>
          <w:rFonts w:ascii="Arial" w:hAnsi="Arial" w:cs="Arial"/>
        </w:rPr>
        <w:t>foram colhidas</w:t>
      </w:r>
      <w:r w:rsidR="00FD56E4" w:rsidRPr="00F125C5">
        <w:rPr>
          <w:rFonts w:ascii="Arial" w:hAnsi="Arial" w:cs="Arial"/>
        </w:rPr>
        <w:t xml:space="preserve"> tão somente </w:t>
      </w:r>
      <w:r w:rsidR="0039544D" w:rsidRPr="00F125C5">
        <w:rPr>
          <w:rFonts w:ascii="Arial" w:hAnsi="Arial" w:cs="Arial"/>
        </w:rPr>
        <w:t xml:space="preserve">em </w:t>
      </w:r>
      <w:r w:rsidR="00AD7C32" w:rsidRPr="00F125C5">
        <w:rPr>
          <w:rFonts w:ascii="Arial" w:hAnsi="Arial" w:cs="Arial"/>
        </w:rPr>
        <w:t xml:space="preserve">análises das </w:t>
      </w:r>
      <w:r w:rsidR="008355C1" w:rsidRPr="00F125C5">
        <w:rPr>
          <w:rFonts w:ascii="Arial" w:hAnsi="Arial" w:cs="Arial"/>
        </w:rPr>
        <w:t>alterações d</w:t>
      </w:r>
      <w:r w:rsidR="005E32EC" w:rsidRPr="00F125C5">
        <w:rPr>
          <w:rFonts w:ascii="Arial" w:hAnsi="Arial" w:cs="Arial"/>
        </w:rPr>
        <w:t>e</w:t>
      </w:r>
      <w:r w:rsidR="008355C1" w:rsidRPr="00F125C5">
        <w:rPr>
          <w:rFonts w:ascii="Arial" w:hAnsi="Arial" w:cs="Arial"/>
        </w:rPr>
        <w:t xml:space="preserve"> legislaç</w:t>
      </w:r>
      <w:r w:rsidR="005E32EC" w:rsidRPr="00F125C5">
        <w:rPr>
          <w:rFonts w:ascii="Arial" w:hAnsi="Arial" w:cs="Arial"/>
        </w:rPr>
        <w:t>ões</w:t>
      </w:r>
      <w:r w:rsidR="008355C1" w:rsidRPr="00F125C5">
        <w:rPr>
          <w:rFonts w:ascii="Arial" w:hAnsi="Arial" w:cs="Arial"/>
        </w:rPr>
        <w:t xml:space="preserve"> norte-americana</w:t>
      </w:r>
      <w:r w:rsidR="005E32EC" w:rsidRPr="00F125C5">
        <w:rPr>
          <w:rFonts w:ascii="Arial" w:hAnsi="Arial" w:cs="Arial"/>
        </w:rPr>
        <w:t>s</w:t>
      </w:r>
      <w:r w:rsidR="008355C1" w:rsidRPr="00F125C5">
        <w:rPr>
          <w:rFonts w:ascii="Arial" w:hAnsi="Arial" w:cs="Arial"/>
        </w:rPr>
        <w:t xml:space="preserve"> sobre o tema</w:t>
      </w:r>
      <w:r w:rsidR="0062481B" w:rsidRPr="00F125C5">
        <w:rPr>
          <w:rFonts w:ascii="Arial" w:hAnsi="Arial" w:cs="Arial"/>
        </w:rPr>
        <w:t xml:space="preserve">, tendo o próprio </w:t>
      </w:r>
      <w:proofErr w:type="spellStart"/>
      <w:r w:rsidR="0062481B" w:rsidRPr="00F125C5">
        <w:rPr>
          <w:rFonts w:ascii="Arial" w:hAnsi="Arial" w:cs="Arial"/>
        </w:rPr>
        <w:t>Cade</w:t>
      </w:r>
      <w:proofErr w:type="spellEnd"/>
      <w:r w:rsidR="0062481B" w:rsidRPr="00F125C5">
        <w:rPr>
          <w:rFonts w:ascii="Arial" w:hAnsi="Arial" w:cs="Arial"/>
        </w:rPr>
        <w:t xml:space="preserve"> reconhecido que “</w:t>
      </w:r>
      <w:r w:rsidR="0062481B" w:rsidRPr="00F125C5">
        <w:rPr>
          <w:rFonts w:ascii="Arial" w:hAnsi="Arial" w:cs="Arial"/>
          <w:i/>
        </w:rPr>
        <w:t>não há um estudo empírico para o caso brasileiro”</w:t>
      </w:r>
      <w:r w:rsidR="0062481B" w:rsidRPr="00F125C5">
        <w:rPr>
          <w:rFonts w:ascii="Arial" w:hAnsi="Arial" w:cs="Arial"/>
        </w:rPr>
        <w:t xml:space="preserve">. Como será detalhado a seguir, </w:t>
      </w:r>
      <w:r w:rsidR="005E32EC" w:rsidRPr="00F125C5">
        <w:rPr>
          <w:rFonts w:ascii="Arial" w:hAnsi="Arial" w:cs="Arial"/>
        </w:rPr>
        <w:t xml:space="preserve">tais estudos </w:t>
      </w:r>
      <w:r w:rsidR="008355C1" w:rsidRPr="00F125C5">
        <w:rPr>
          <w:rFonts w:ascii="Arial" w:hAnsi="Arial" w:cs="Arial"/>
        </w:rPr>
        <w:t xml:space="preserve">não </w:t>
      </w:r>
      <w:r w:rsidR="005E32EC" w:rsidRPr="00F125C5">
        <w:rPr>
          <w:rFonts w:ascii="Arial" w:hAnsi="Arial" w:cs="Arial"/>
        </w:rPr>
        <w:t>são</w:t>
      </w:r>
      <w:r w:rsidR="008355C1" w:rsidRPr="00F125C5">
        <w:rPr>
          <w:rFonts w:ascii="Arial" w:hAnsi="Arial" w:cs="Arial"/>
        </w:rPr>
        <w:t xml:space="preserve"> adequados para a defesa da verticalização no Brasil, em razão, principalmente, de diferenças substanciais que o mercado de combustíveis naquele país apresenta </w:t>
      </w:r>
      <w:r w:rsidR="00AD7C32" w:rsidRPr="00F125C5">
        <w:rPr>
          <w:rFonts w:ascii="Arial" w:hAnsi="Arial" w:cs="Arial"/>
        </w:rPr>
        <w:t>em relação ao</w:t>
      </w:r>
      <w:r w:rsidR="008355C1" w:rsidRPr="00F125C5">
        <w:rPr>
          <w:rFonts w:ascii="Arial" w:hAnsi="Arial" w:cs="Arial"/>
        </w:rPr>
        <w:t xml:space="preserve"> Brasil, como o elevado número de </w:t>
      </w:r>
      <w:r w:rsidR="008355C1" w:rsidRPr="00F125C5">
        <w:rPr>
          <w:rFonts w:ascii="Arial" w:hAnsi="Arial" w:cs="Arial"/>
          <w:i/>
        </w:rPr>
        <w:t xml:space="preserve">players </w:t>
      </w:r>
      <w:r w:rsidR="008355C1" w:rsidRPr="00F125C5">
        <w:rPr>
          <w:rFonts w:ascii="Arial" w:hAnsi="Arial" w:cs="Arial"/>
        </w:rPr>
        <w:t xml:space="preserve">no refino e a ausência de um elo de distribuição estruturado como </w:t>
      </w:r>
      <w:r w:rsidRPr="00F125C5">
        <w:rPr>
          <w:rFonts w:ascii="Arial" w:hAnsi="Arial" w:cs="Arial"/>
        </w:rPr>
        <w:t>n</w:t>
      </w:r>
      <w:r w:rsidR="008355C1" w:rsidRPr="00F125C5">
        <w:rPr>
          <w:rFonts w:ascii="Arial" w:hAnsi="Arial" w:cs="Arial"/>
        </w:rPr>
        <w:t xml:space="preserve">o </w:t>
      </w:r>
      <w:r w:rsidRPr="00F125C5">
        <w:rPr>
          <w:rFonts w:ascii="Arial" w:hAnsi="Arial" w:cs="Arial"/>
        </w:rPr>
        <w:t xml:space="preserve">modelo regulatório </w:t>
      </w:r>
      <w:r w:rsidR="008355C1" w:rsidRPr="00F125C5">
        <w:rPr>
          <w:rFonts w:ascii="Arial" w:hAnsi="Arial" w:cs="Arial"/>
        </w:rPr>
        <w:t>brasileiro. Além disso, as leis analisadas</w:t>
      </w:r>
      <w:r w:rsidR="005E32EC" w:rsidRPr="00F125C5">
        <w:rPr>
          <w:rFonts w:ascii="Arial" w:hAnsi="Arial" w:cs="Arial"/>
        </w:rPr>
        <w:t>, as quais</w:t>
      </w:r>
      <w:r w:rsidR="008355C1" w:rsidRPr="00F125C5">
        <w:rPr>
          <w:rFonts w:ascii="Arial" w:hAnsi="Arial" w:cs="Arial"/>
        </w:rPr>
        <w:t xml:space="preserve">, ressalta-se, não vedavam relações verticais no mercado de combustíveis, além de regionais, tratavam da verticalização entre os elos do refino e da revenda, diferentemente do </w:t>
      </w:r>
      <w:r w:rsidR="008355C1" w:rsidRPr="00F125C5">
        <w:rPr>
          <w:rFonts w:ascii="Arial" w:hAnsi="Arial" w:cs="Arial"/>
        </w:rPr>
        <w:lastRenderedPageBreak/>
        <w:t>aparente cerne da discussão travada na presente TPC, que se volta ao debate de eventual “</w:t>
      </w:r>
      <w:r w:rsidR="008355C1" w:rsidRPr="00F125C5">
        <w:rPr>
          <w:rFonts w:ascii="Arial" w:hAnsi="Arial" w:cs="Arial"/>
          <w:i/>
        </w:rPr>
        <w:t xml:space="preserve">verticalização da cadeia de </w:t>
      </w:r>
      <w:r w:rsidR="008355C1" w:rsidRPr="00F125C5">
        <w:rPr>
          <w:rFonts w:ascii="Arial" w:hAnsi="Arial" w:cs="Arial"/>
          <w:i/>
          <w:u w:val="single"/>
        </w:rPr>
        <w:t>distribuição</w:t>
      </w:r>
      <w:r w:rsidR="008355C1" w:rsidRPr="00F125C5">
        <w:rPr>
          <w:rFonts w:ascii="Arial" w:hAnsi="Arial" w:cs="Arial"/>
          <w:i/>
        </w:rPr>
        <w:t xml:space="preserve"> de combustíveis”.</w:t>
      </w:r>
    </w:p>
    <w:p w14:paraId="71753792" w14:textId="273C0123" w:rsidR="00E70341" w:rsidRPr="00F125C5" w:rsidRDefault="00895C88" w:rsidP="00A607E5">
      <w:pPr>
        <w:pStyle w:val="PargrafodaLista"/>
        <w:tabs>
          <w:tab w:val="left" w:pos="709"/>
        </w:tabs>
        <w:spacing w:after="0" w:line="360" w:lineRule="auto"/>
        <w:ind w:left="0" w:firstLine="709"/>
        <w:jc w:val="both"/>
        <w:rPr>
          <w:rFonts w:ascii="Arial" w:hAnsi="Arial" w:cs="Arial"/>
        </w:rPr>
      </w:pPr>
      <w:r w:rsidRPr="00F125C5">
        <w:rPr>
          <w:rFonts w:ascii="Arial" w:hAnsi="Arial" w:cs="Arial"/>
        </w:rPr>
        <w:t xml:space="preserve">Com efeito, 6 (seis) foram os estudos </w:t>
      </w:r>
      <w:r w:rsidR="00D72210" w:rsidRPr="00F125C5">
        <w:rPr>
          <w:rFonts w:ascii="Arial" w:hAnsi="Arial" w:cs="Arial"/>
        </w:rPr>
        <w:t xml:space="preserve">analisados pelo </w:t>
      </w:r>
      <w:proofErr w:type="spellStart"/>
      <w:r w:rsidR="00D72210" w:rsidRPr="00F125C5">
        <w:rPr>
          <w:rFonts w:ascii="Arial" w:hAnsi="Arial" w:cs="Arial"/>
        </w:rPr>
        <w:t>Cade</w:t>
      </w:r>
      <w:proofErr w:type="spellEnd"/>
      <w:r w:rsidR="00D72210" w:rsidRPr="00F125C5">
        <w:rPr>
          <w:rFonts w:ascii="Arial" w:hAnsi="Arial" w:cs="Arial"/>
        </w:rPr>
        <w:t xml:space="preserve"> </w:t>
      </w:r>
      <w:r w:rsidR="00840E9D" w:rsidRPr="00F125C5">
        <w:rPr>
          <w:rFonts w:ascii="Arial" w:hAnsi="Arial" w:cs="Arial"/>
        </w:rPr>
        <w:t>para propor a eventual revisão das normas de vedação da verticalização no setor de combustíveis brasileiro</w:t>
      </w:r>
      <w:r w:rsidR="007C41C4" w:rsidRPr="00F125C5">
        <w:rPr>
          <w:rFonts w:ascii="Arial" w:hAnsi="Arial" w:cs="Arial"/>
        </w:rPr>
        <w:t xml:space="preserve">. </w:t>
      </w:r>
      <w:r w:rsidR="00B9411E" w:rsidRPr="00F125C5">
        <w:rPr>
          <w:rFonts w:ascii="Arial" w:hAnsi="Arial" w:cs="Arial"/>
        </w:rPr>
        <w:t xml:space="preserve">Detalhamos </w:t>
      </w:r>
      <w:r w:rsidR="001D0C1E" w:rsidRPr="00F125C5">
        <w:rPr>
          <w:rFonts w:ascii="Arial" w:hAnsi="Arial" w:cs="Arial"/>
        </w:rPr>
        <w:t xml:space="preserve">5 (cinco) deles </w:t>
      </w:r>
      <w:r w:rsidR="00B9411E" w:rsidRPr="00F125C5">
        <w:rPr>
          <w:rFonts w:ascii="Arial" w:hAnsi="Arial" w:cs="Arial"/>
        </w:rPr>
        <w:t>a seguir</w:t>
      </w:r>
      <w:r w:rsidR="00EA5034" w:rsidRPr="00F125C5">
        <w:rPr>
          <w:rFonts w:ascii="Arial" w:hAnsi="Arial" w:cs="Arial"/>
        </w:rPr>
        <w:t>, na ordem cronológica em que foram produzidos</w:t>
      </w:r>
      <w:r w:rsidR="00052B8E" w:rsidRPr="00F125C5">
        <w:rPr>
          <w:rFonts w:ascii="Arial" w:hAnsi="Arial" w:cs="Arial"/>
        </w:rPr>
        <w:t>.</w:t>
      </w:r>
      <w:r w:rsidR="003476EB" w:rsidRPr="00F125C5">
        <w:rPr>
          <w:rFonts w:ascii="Arial" w:hAnsi="Arial" w:cs="Arial"/>
        </w:rPr>
        <w:t xml:space="preserve"> </w:t>
      </w:r>
    </w:p>
    <w:p w14:paraId="18B9B7B0" w14:textId="416E2E05" w:rsidR="00C85E04" w:rsidRPr="00F125C5" w:rsidRDefault="00826BAB" w:rsidP="00944CA2">
      <w:pPr>
        <w:pStyle w:val="PargrafodaLista"/>
        <w:tabs>
          <w:tab w:val="left" w:pos="709"/>
        </w:tabs>
        <w:spacing w:after="0" w:line="360" w:lineRule="auto"/>
        <w:ind w:left="0" w:firstLine="709"/>
        <w:jc w:val="both"/>
        <w:rPr>
          <w:rFonts w:ascii="Arial" w:hAnsi="Arial" w:cs="Arial"/>
        </w:rPr>
      </w:pPr>
      <w:proofErr w:type="spellStart"/>
      <w:r w:rsidRPr="00F125C5">
        <w:rPr>
          <w:rFonts w:ascii="Arial" w:hAnsi="Arial" w:cs="Arial"/>
        </w:rPr>
        <w:t>Barron</w:t>
      </w:r>
      <w:proofErr w:type="spellEnd"/>
      <w:r w:rsidRPr="00F125C5">
        <w:rPr>
          <w:rFonts w:ascii="Arial" w:hAnsi="Arial" w:cs="Arial"/>
        </w:rPr>
        <w:t xml:space="preserve"> </w:t>
      </w:r>
      <w:r w:rsidR="00EA5034" w:rsidRPr="00F125C5">
        <w:rPr>
          <w:rFonts w:ascii="Arial" w:hAnsi="Arial" w:cs="Arial"/>
        </w:rPr>
        <w:t xml:space="preserve">e </w:t>
      </w:r>
      <w:proofErr w:type="spellStart"/>
      <w:r w:rsidR="00EA5034" w:rsidRPr="00F125C5">
        <w:rPr>
          <w:rFonts w:ascii="Arial" w:hAnsi="Arial" w:cs="Arial"/>
        </w:rPr>
        <w:t>Umbeck</w:t>
      </w:r>
      <w:proofErr w:type="spellEnd"/>
      <w:r w:rsidR="00EA5034" w:rsidRPr="00F125C5">
        <w:rPr>
          <w:rFonts w:ascii="Arial" w:hAnsi="Arial" w:cs="Arial"/>
        </w:rPr>
        <w:t xml:space="preserve"> (1984)</w:t>
      </w:r>
      <w:r w:rsidR="00CD6D73" w:rsidRPr="00F125C5">
        <w:rPr>
          <w:rFonts w:ascii="Arial" w:hAnsi="Arial" w:cs="Arial"/>
        </w:rPr>
        <w:t xml:space="preserve"> </w:t>
      </w:r>
      <w:r w:rsidR="00843761" w:rsidRPr="00F125C5">
        <w:rPr>
          <w:rFonts w:ascii="Arial" w:hAnsi="Arial" w:cs="Arial"/>
        </w:rPr>
        <w:t xml:space="preserve">estudaram os efeitos de </w:t>
      </w:r>
      <w:r w:rsidR="00C83A29" w:rsidRPr="00F125C5">
        <w:rPr>
          <w:rFonts w:ascii="Arial" w:hAnsi="Arial" w:cs="Arial"/>
        </w:rPr>
        <w:t>uma lei de divórcio</w:t>
      </w:r>
      <w:r w:rsidR="00B0478F" w:rsidRPr="00F125C5">
        <w:rPr>
          <w:rFonts w:ascii="Arial" w:hAnsi="Arial" w:cs="Arial"/>
        </w:rPr>
        <w:t xml:space="preserve"> </w:t>
      </w:r>
      <w:r w:rsidR="00C83A29" w:rsidRPr="00F125C5">
        <w:rPr>
          <w:rFonts w:ascii="Arial" w:hAnsi="Arial" w:cs="Arial"/>
        </w:rPr>
        <w:t>(“</w:t>
      </w:r>
      <w:proofErr w:type="spellStart"/>
      <w:r w:rsidR="00C83A29" w:rsidRPr="00F125C5">
        <w:rPr>
          <w:rFonts w:ascii="Arial" w:hAnsi="Arial" w:cs="Arial"/>
          <w:i/>
        </w:rPr>
        <w:t>divorcement</w:t>
      </w:r>
      <w:proofErr w:type="spellEnd"/>
      <w:r w:rsidR="00C83A29" w:rsidRPr="00F125C5">
        <w:rPr>
          <w:rFonts w:ascii="Arial" w:hAnsi="Arial" w:cs="Arial"/>
          <w:i/>
        </w:rPr>
        <w:t xml:space="preserve"> </w:t>
      </w:r>
      <w:proofErr w:type="spellStart"/>
      <w:r w:rsidR="00C83A29" w:rsidRPr="00F125C5">
        <w:rPr>
          <w:rFonts w:ascii="Arial" w:hAnsi="Arial" w:cs="Arial"/>
          <w:i/>
        </w:rPr>
        <w:t>law</w:t>
      </w:r>
      <w:proofErr w:type="spellEnd"/>
      <w:r w:rsidR="00C83A29" w:rsidRPr="00F125C5">
        <w:rPr>
          <w:rFonts w:ascii="Arial" w:hAnsi="Arial" w:cs="Arial"/>
        </w:rPr>
        <w:t>”), aprovada pelo governo de Maryland em 1974, que proibia que refinarias controlassem postos revendedores de combustíveis líquidos. A mudança crucial apontada pelos autores foi a transferência</w:t>
      </w:r>
      <w:r w:rsidR="00FD1AF7" w:rsidRPr="00F125C5">
        <w:rPr>
          <w:rFonts w:ascii="Arial" w:hAnsi="Arial" w:cs="Arial"/>
        </w:rPr>
        <w:t xml:space="preserve">, das refinarias aos franqueados, do direito de definir </w:t>
      </w:r>
      <w:r w:rsidR="0058746D" w:rsidRPr="00F125C5">
        <w:rPr>
          <w:rFonts w:ascii="Arial" w:hAnsi="Arial" w:cs="Arial"/>
        </w:rPr>
        <w:t>as horas de operação do posto revendedores e os preços praticados na bomba</w:t>
      </w:r>
      <w:r w:rsidR="0088726A" w:rsidRPr="00F125C5">
        <w:rPr>
          <w:rFonts w:ascii="Arial" w:hAnsi="Arial" w:cs="Arial"/>
        </w:rPr>
        <w:t xml:space="preserve">. </w:t>
      </w:r>
      <w:r w:rsidR="002B27AE" w:rsidRPr="00F125C5">
        <w:rPr>
          <w:rFonts w:ascii="Arial" w:hAnsi="Arial" w:cs="Arial"/>
        </w:rPr>
        <w:t>Antes da lei, as refinarias e postos podiam ter relações caracterizadas como “</w:t>
      </w:r>
      <w:proofErr w:type="spellStart"/>
      <w:r w:rsidR="002B27AE" w:rsidRPr="00F125C5">
        <w:rPr>
          <w:rFonts w:ascii="Arial" w:hAnsi="Arial" w:cs="Arial"/>
          <w:i/>
        </w:rPr>
        <w:t>refiner</w:t>
      </w:r>
      <w:proofErr w:type="spellEnd"/>
      <w:r w:rsidR="002B27AE" w:rsidRPr="00F125C5">
        <w:rPr>
          <w:rFonts w:ascii="Arial" w:hAnsi="Arial" w:cs="Arial"/>
          <w:i/>
        </w:rPr>
        <w:t xml:space="preserve"> </w:t>
      </w:r>
      <w:proofErr w:type="spellStart"/>
      <w:r w:rsidR="002B27AE" w:rsidRPr="00F125C5">
        <w:rPr>
          <w:rFonts w:ascii="Arial" w:hAnsi="Arial" w:cs="Arial"/>
          <w:i/>
        </w:rPr>
        <w:t>controlled</w:t>
      </w:r>
      <w:proofErr w:type="spellEnd"/>
      <w:r w:rsidR="002B27AE" w:rsidRPr="00F125C5">
        <w:rPr>
          <w:rFonts w:ascii="Arial" w:hAnsi="Arial" w:cs="Arial"/>
          <w:i/>
        </w:rPr>
        <w:t xml:space="preserve"> </w:t>
      </w:r>
      <w:proofErr w:type="spellStart"/>
      <w:r w:rsidR="002B27AE" w:rsidRPr="00F125C5">
        <w:rPr>
          <w:rFonts w:ascii="Arial" w:hAnsi="Arial" w:cs="Arial"/>
          <w:i/>
        </w:rPr>
        <w:t>operations</w:t>
      </w:r>
      <w:proofErr w:type="spellEnd"/>
      <w:r w:rsidR="002B27AE" w:rsidRPr="00F125C5">
        <w:rPr>
          <w:rFonts w:ascii="Arial" w:hAnsi="Arial" w:cs="Arial"/>
          <w:i/>
        </w:rPr>
        <w:t xml:space="preserve">”, </w:t>
      </w:r>
      <w:r w:rsidR="0005742A" w:rsidRPr="00F125C5">
        <w:rPr>
          <w:rFonts w:ascii="Arial" w:hAnsi="Arial" w:cs="Arial"/>
        </w:rPr>
        <w:t xml:space="preserve">em que o revendedor recebia um salário para </w:t>
      </w:r>
      <w:r w:rsidR="00FC2780" w:rsidRPr="00F125C5">
        <w:rPr>
          <w:rFonts w:ascii="Arial" w:hAnsi="Arial" w:cs="Arial"/>
        </w:rPr>
        <w:t xml:space="preserve">realizar os serviços em nome do refinador, que </w:t>
      </w:r>
      <w:r w:rsidR="00525C71" w:rsidRPr="00F125C5">
        <w:rPr>
          <w:rFonts w:ascii="Arial" w:hAnsi="Arial" w:cs="Arial"/>
        </w:rPr>
        <w:t>tinha</w:t>
      </w:r>
      <w:r w:rsidR="00FC2780" w:rsidRPr="00F125C5">
        <w:rPr>
          <w:rFonts w:ascii="Arial" w:hAnsi="Arial" w:cs="Arial"/>
        </w:rPr>
        <w:t xml:space="preserve"> </w:t>
      </w:r>
      <w:r w:rsidR="00525C71" w:rsidRPr="00F125C5">
        <w:rPr>
          <w:rFonts w:ascii="Arial" w:hAnsi="Arial" w:cs="Arial"/>
        </w:rPr>
        <w:t>o direito de estabelecer as horas em que o posto deveria operar e os preços dos combustíveis a serem praticados na bomba.</w:t>
      </w:r>
      <w:r w:rsidR="007E6991" w:rsidRPr="00F125C5">
        <w:rPr>
          <w:rFonts w:ascii="Arial" w:hAnsi="Arial" w:cs="Arial"/>
        </w:rPr>
        <w:t xml:space="preserve"> Com a aprovação da lei de divórcio, esse tipo de relação foi </w:t>
      </w:r>
      <w:r w:rsidR="00B0478F" w:rsidRPr="00F125C5">
        <w:rPr>
          <w:rFonts w:ascii="Arial" w:hAnsi="Arial" w:cs="Arial"/>
        </w:rPr>
        <w:t>proibida</w:t>
      </w:r>
      <w:r w:rsidR="007E6991" w:rsidRPr="00F125C5">
        <w:rPr>
          <w:rFonts w:ascii="Arial" w:hAnsi="Arial" w:cs="Arial"/>
        </w:rPr>
        <w:t xml:space="preserve">, forçando as refinarias a adotarem um tipo de relação contratual menos “preferível” (contratos de franquia), caso não decidissem por vender os postos (ou alterar o seu uso para </w:t>
      </w:r>
      <w:r w:rsidR="002D24B1" w:rsidRPr="00F125C5">
        <w:rPr>
          <w:rFonts w:ascii="Arial" w:hAnsi="Arial" w:cs="Arial"/>
        </w:rPr>
        <w:t>uma utilização</w:t>
      </w:r>
      <w:r w:rsidR="007E6991" w:rsidRPr="00F125C5">
        <w:rPr>
          <w:rFonts w:ascii="Arial" w:hAnsi="Arial" w:cs="Arial"/>
        </w:rPr>
        <w:t xml:space="preserve"> diferente à venda ao consumidor).</w:t>
      </w:r>
      <w:r w:rsidR="00525C71" w:rsidRPr="00F125C5">
        <w:rPr>
          <w:rFonts w:ascii="Arial" w:hAnsi="Arial" w:cs="Arial"/>
        </w:rPr>
        <w:t xml:space="preserve"> </w:t>
      </w:r>
      <w:r w:rsidR="00534B61" w:rsidRPr="00F125C5">
        <w:rPr>
          <w:rFonts w:ascii="Arial" w:hAnsi="Arial" w:cs="Arial"/>
        </w:rPr>
        <w:t xml:space="preserve">Assim, </w:t>
      </w:r>
      <w:r w:rsidR="0088726A" w:rsidRPr="00F125C5">
        <w:rPr>
          <w:rFonts w:ascii="Arial" w:hAnsi="Arial" w:cs="Arial"/>
        </w:rPr>
        <w:t xml:space="preserve">a maioria dos postos afetados </w:t>
      </w:r>
      <w:r w:rsidR="00B0478F" w:rsidRPr="00F125C5">
        <w:rPr>
          <w:rFonts w:ascii="Arial" w:hAnsi="Arial" w:cs="Arial"/>
        </w:rPr>
        <w:t xml:space="preserve">passou </w:t>
      </w:r>
      <w:r w:rsidR="0088726A" w:rsidRPr="00F125C5">
        <w:rPr>
          <w:rFonts w:ascii="Arial" w:hAnsi="Arial" w:cs="Arial"/>
        </w:rPr>
        <w:t xml:space="preserve">a operar sob contratos de franquia, ou seja, contratos estabelecidos entre o refinador e um atendente (franqueado ou negociante) em que o franqueado é </w:t>
      </w:r>
      <w:r w:rsidR="0088726A" w:rsidRPr="00F125C5">
        <w:rPr>
          <w:rFonts w:ascii="Arial" w:hAnsi="Arial" w:cs="Arial"/>
          <w:lang w:val="pt-PT"/>
        </w:rPr>
        <w:t>uma parte residual que compra gasolina e arrenda os terrenos e edifícios da refinaria. O franqueado, e não o refinador, é que tem o direito de definir as horas de operação e os preços da gasolina nas estações.</w:t>
      </w:r>
      <w:r w:rsidR="0058746D" w:rsidRPr="00F125C5">
        <w:rPr>
          <w:rFonts w:ascii="Arial" w:hAnsi="Arial" w:cs="Arial"/>
        </w:rPr>
        <w:t xml:space="preserve"> </w:t>
      </w:r>
    </w:p>
    <w:p w14:paraId="5A61DBFB" w14:textId="1B96D3D6" w:rsidR="00C047F8" w:rsidRPr="00F125C5" w:rsidRDefault="0058746D" w:rsidP="00944CA2">
      <w:pPr>
        <w:pStyle w:val="PargrafodaLista"/>
        <w:tabs>
          <w:tab w:val="left" w:pos="709"/>
        </w:tabs>
        <w:spacing w:after="0" w:line="360" w:lineRule="auto"/>
        <w:ind w:left="0" w:firstLine="709"/>
        <w:jc w:val="both"/>
        <w:rPr>
          <w:rFonts w:ascii="Arial" w:hAnsi="Arial" w:cs="Arial"/>
        </w:rPr>
      </w:pPr>
      <w:r w:rsidRPr="00F125C5">
        <w:rPr>
          <w:rFonts w:ascii="Arial" w:hAnsi="Arial" w:cs="Arial"/>
        </w:rPr>
        <w:t xml:space="preserve">A conclusão </w:t>
      </w:r>
      <w:r w:rsidR="00B15789" w:rsidRPr="00F125C5">
        <w:rPr>
          <w:rFonts w:ascii="Arial" w:hAnsi="Arial" w:cs="Arial"/>
        </w:rPr>
        <w:t xml:space="preserve">central </w:t>
      </w:r>
      <w:r w:rsidR="00534B61" w:rsidRPr="00F125C5">
        <w:rPr>
          <w:rFonts w:ascii="Arial" w:hAnsi="Arial" w:cs="Arial"/>
        </w:rPr>
        <w:t xml:space="preserve">dos autores </w:t>
      </w:r>
      <w:r w:rsidRPr="00F125C5">
        <w:rPr>
          <w:rFonts w:ascii="Arial" w:hAnsi="Arial" w:cs="Arial"/>
        </w:rPr>
        <w:t xml:space="preserve">foi que a alteração forçada para contratos de franquia aumentou os preços dos combustíveis (em 5-7 centavos por galão) e reduziu as horas de operação (em cerca de 8-9 horas por semana). </w:t>
      </w:r>
      <w:r w:rsidR="0057607F" w:rsidRPr="00F125C5">
        <w:rPr>
          <w:rFonts w:ascii="Arial" w:hAnsi="Arial" w:cs="Arial"/>
        </w:rPr>
        <w:t xml:space="preserve">Cumpre pontuar que, conforme anotam os próprios autores, </w:t>
      </w:r>
      <w:r w:rsidR="00F05B05" w:rsidRPr="00F125C5">
        <w:rPr>
          <w:rFonts w:ascii="Arial" w:hAnsi="Arial" w:cs="Arial"/>
        </w:rPr>
        <w:t>em</w:t>
      </w:r>
      <w:r w:rsidR="00D9393F" w:rsidRPr="00F125C5">
        <w:rPr>
          <w:rFonts w:ascii="Arial" w:hAnsi="Arial" w:cs="Arial"/>
        </w:rPr>
        <w:t xml:space="preserve"> Maryland, </w:t>
      </w:r>
      <w:r w:rsidR="004A0C52" w:rsidRPr="00F125C5">
        <w:rPr>
          <w:rFonts w:ascii="Arial" w:hAnsi="Arial" w:cs="Arial"/>
        </w:rPr>
        <w:t>7</w:t>
      </w:r>
      <w:r w:rsidR="002C2ADB" w:rsidRPr="00F125C5">
        <w:rPr>
          <w:rFonts w:ascii="Arial" w:hAnsi="Arial" w:cs="Arial"/>
        </w:rPr>
        <w:t xml:space="preserve"> (sete)</w:t>
      </w:r>
      <w:r w:rsidR="004A0C52" w:rsidRPr="00F125C5">
        <w:rPr>
          <w:rFonts w:ascii="Arial" w:hAnsi="Arial" w:cs="Arial"/>
        </w:rPr>
        <w:t xml:space="preserve"> refinarias foram afetadas pela lei de divórcio</w:t>
      </w:r>
      <w:r w:rsidR="00E35051" w:rsidRPr="00F125C5">
        <w:rPr>
          <w:rFonts w:ascii="Arial" w:hAnsi="Arial" w:cs="Arial"/>
        </w:rPr>
        <w:t xml:space="preserve">, </w:t>
      </w:r>
      <w:r w:rsidR="00BF6D46" w:rsidRPr="00F125C5">
        <w:rPr>
          <w:rFonts w:ascii="Arial" w:hAnsi="Arial" w:cs="Arial"/>
        </w:rPr>
        <w:t>das quais</w:t>
      </w:r>
      <w:r w:rsidR="00BE457D" w:rsidRPr="00F125C5">
        <w:rPr>
          <w:rFonts w:ascii="Arial" w:hAnsi="Arial" w:cs="Arial"/>
        </w:rPr>
        <w:t xml:space="preserve"> apenas 4 </w:t>
      </w:r>
      <w:r w:rsidR="00BF6D46" w:rsidRPr="00F125C5">
        <w:rPr>
          <w:rFonts w:ascii="Arial" w:hAnsi="Arial" w:cs="Arial"/>
        </w:rPr>
        <w:t xml:space="preserve">(quatro) </w:t>
      </w:r>
      <w:r w:rsidR="00BE457D" w:rsidRPr="00F125C5">
        <w:rPr>
          <w:rFonts w:ascii="Arial" w:hAnsi="Arial" w:cs="Arial"/>
        </w:rPr>
        <w:t>decidiram por mudar seus contratos com postos para franquias no lugar de vendê-los</w:t>
      </w:r>
      <w:r w:rsidR="005170C2" w:rsidRPr="00F125C5">
        <w:rPr>
          <w:rFonts w:ascii="Arial" w:hAnsi="Arial" w:cs="Arial"/>
        </w:rPr>
        <w:t>. A análise empírica envolveu apenas 99 (noventa e nov</w:t>
      </w:r>
      <w:r w:rsidR="008B5CCF" w:rsidRPr="00F125C5">
        <w:rPr>
          <w:rFonts w:ascii="Arial" w:hAnsi="Arial" w:cs="Arial"/>
        </w:rPr>
        <w:t>e</w:t>
      </w:r>
      <w:r w:rsidR="005170C2" w:rsidRPr="00F125C5">
        <w:rPr>
          <w:rFonts w:ascii="Arial" w:hAnsi="Arial" w:cs="Arial"/>
        </w:rPr>
        <w:t xml:space="preserve">) postos </w:t>
      </w:r>
      <w:r w:rsidR="002341BD" w:rsidRPr="00F125C5">
        <w:rPr>
          <w:rFonts w:ascii="Arial" w:hAnsi="Arial" w:cs="Arial"/>
        </w:rPr>
        <w:t xml:space="preserve">que </w:t>
      </w:r>
      <w:r w:rsidR="00B0478F" w:rsidRPr="00F125C5">
        <w:rPr>
          <w:rFonts w:ascii="Arial" w:hAnsi="Arial" w:cs="Arial"/>
        </w:rPr>
        <w:t>se tornaram franquias</w:t>
      </w:r>
      <w:r w:rsidR="002341BD" w:rsidRPr="00F125C5">
        <w:rPr>
          <w:rFonts w:ascii="Arial" w:hAnsi="Arial" w:cs="Arial"/>
        </w:rPr>
        <w:t xml:space="preserve"> </w:t>
      </w:r>
      <w:r w:rsidR="00EB55EC" w:rsidRPr="00F125C5">
        <w:rPr>
          <w:rFonts w:ascii="Arial" w:hAnsi="Arial" w:cs="Arial"/>
        </w:rPr>
        <w:t>em virtude da lei de divórcio</w:t>
      </w:r>
      <w:r w:rsidR="00A66A4B" w:rsidRPr="00F125C5">
        <w:rPr>
          <w:rFonts w:ascii="Arial" w:hAnsi="Arial" w:cs="Arial"/>
        </w:rPr>
        <w:t xml:space="preserve">, além dos </w:t>
      </w:r>
      <w:r w:rsidR="00C555C9" w:rsidRPr="00F125C5">
        <w:rPr>
          <w:rFonts w:ascii="Arial" w:hAnsi="Arial" w:cs="Arial"/>
        </w:rPr>
        <w:t>postos identificados como seus concorrentes</w:t>
      </w:r>
      <w:r w:rsidR="00211502" w:rsidRPr="00F125C5">
        <w:rPr>
          <w:rFonts w:ascii="Arial" w:hAnsi="Arial" w:cs="Arial"/>
        </w:rPr>
        <w:t xml:space="preserve">. </w:t>
      </w:r>
      <w:r w:rsidR="006A1844" w:rsidRPr="00F125C5">
        <w:rPr>
          <w:rFonts w:ascii="Arial" w:hAnsi="Arial" w:cs="Arial"/>
        </w:rPr>
        <w:t xml:space="preserve">Outro dado relevante é </w:t>
      </w:r>
      <w:r w:rsidR="00211502" w:rsidRPr="00F125C5">
        <w:rPr>
          <w:rFonts w:ascii="Arial" w:hAnsi="Arial" w:cs="Arial"/>
        </w:rPr>
        <w:t>o baixo percentual de</w:t>
      </w:r>
      <w:r w:rsidR="00383CF4" w:rsidRPr="00F125C5">
        <w:rPr>
          <w:rFonts w:ascii="Arial" w:hAnsi="Arial" w:cs="Arial"/>
        </w:rPr>
        <w:t xml:space="preserve"> postos</w:t>
      </w:r>
      <w:r w:rsidR="00211502" w:rsidRPr="00F125C5">
        <w:rPr>
          <w:rFonts w:ascii="Arial" w:hAnsi="Arial" w:cs="Arial"/>
        </w:rPr>
        <w:t xml:space="preserve"> que, </w:t>
      </w:r>
      <w:r w:rsidR="00757D9F" w:rsidRPr="00F125C5">
        <w:rPr>
          <w:rFonts w:ascii="Arial" w:hAnsi="Arial" w:cs="Arial"/>
        </w:rPr>
        <w:t xml:space="preserve">antes da lei, eram </w:t>
      </w:r>
      <w:r w:rsidR="00383CF4" w:rsidRPr="00F125C5">
        <w:rPr>
          <w:rFonts w:ascii="Arial" w:hAnsi="Arial" w:cs="Arial"/>
        </w:rPr>
        <w:t>operados por refinarias</w:t>
      </w:r>
      <w:r w:rsidR="00757D9F" w:rsidRPr="00F125C5">
        <w:rPr>
          <w:rFonts w:ascii="Arial" w:hAnsi="Arial" w:cs="Arial"/>
        </w:rPr>
        <w:t xml:space="preserve"> </w:t>
      </w:r>
      <w:r w:rsidR="00681689" w:rsidRPr="00F125C5">
        <w:rPr>
          <w:rFonts w:ascii="Arial" w:hAnsi="Arial" w:cs="Arial"/>
        </w:rPr>
        <w:t>–</w:t>
      </w:r>
      <w:r w:rsidR="00757D9F" w:rsidRPr="00F125C5">
        <w:rPr>
          <w:rFonts w:ascii="Arial" w:hAnsi="Arial" w:cs="Arial"/>
        </w:rPr>
        <w:t xml:space="preserve"> </w:t>
      </w:r>
      <w:r w:rsidR="00681689" w:rsidRPr="00F125C5">
        <w:rPr>
          <w:rFonts w:ascii="Arial" w:hAnsi="Arial" w:cs="Arial"/>
        </w:rPr>
        <w:t>algo em torno de</w:t>
      </w:r>
      <w:r w:rsidR="00383CF4" w:rsidRPr="00F125C5">
        <w:rPr>
          <w:rFonts w:ascii="Arial" w:hAnsi="Arial" w:cs="Arial"/>
        </w:rPr>
        <w:t xml:space="preserve"> </w:t>
      </w:r>
      <w:r w:rsidR="00383CF4" w:rsidRPr="00F125C5">
        <w:rPr>
          <w:rFonts w:ascii="Arial" w:hAnsi="Arial" w:cs="Arial"/>
        </w:rPr>
        <w:lastRenderedPageBreak/>
        <w:t>10% dos postos de Maryland</w:t>
      </w:r>
      <w:r w:rsidR="00681689" w:rsidRPr="00F125C5">
        <w:rPr>
          <w:rFonts w:ascii="Arial" w:hAnsi="Arial" w:cs="Arial"/>
        </w:rPr>
        <w:t>.</w:t>
      </w:r>
      <w:r w:rsidR="00E70F59" w:rsidRPr="00F125C5">
        <w:rPr>
          <w:rStyle w:val="Refdenotaderodap"/>
          <w:rFonts w:ascii="Arial" w:hAnsi="Arial" w:cs="Arial"/>
        </w:rPr>
        <w:footnoteReference w:id="22"/>
      </w:r>
      <w:r w:rsidR="00681689" w:rsidRPr="00F125C5">
        <w:rPr>
          <w:rFonts w:ascii="Arial" w:hAnsi="Arial" w:cs="Arial"/>
        </w:rPr>
        <w:t xml:space="preserve"> </w:t>
      </w:r>
      <w:r w:rsidR="003879E2" w:rsidRPr="00F125C5">
        <w:rPr>
          <w:rFonts w:ascii="Arial" w:hAnsi="Arial" w:cs="Arial"/>
        </w:rPr>
        <w:t xml:space="preserve">Ou seja, </w:t>
      </w:r>
      <w:r w:rsidR="006E0D82" w:rsidRPr="00F125C5">
        <w:rPr>
          <w:rFonts w:ascii="Arial" w:hAnsi="Arial" w:cs="Arial"/>
        </w:rPr>
        <w:t xml:space="preserve">além da diferença do grau de concorrência no refino, o estudo sugere que </w:t>
      </w:r>
      <w:r w:rsidR="00523277" w:rsidRPr="00F125C5">
        <w:rPr>
          <w:rFonts w:ascii="Arial" w:hAnsi="Arial" w:cs="Arial"/>
        </w:rPr>
        <w:t xml:space="preserve">a verticalização, </w:t>
      </w:r>
      <w:r w:rsidR="00F2287B" w:rsidRPr="00F125C5">
        <w:rPr>
          <w:rFonts w:ascii="Arial" w:hAnsi="Arial" w:cs="Arial"/>
        </w:rPr>
        <w:t>quando permitida, não é uma estratégia muito interessante para as empresas</w:t>
      </w:r>
      <w:r w:rsidR="006D0658" w:rsidRPr="00F125C5">
        <w:rPr>
          <w:rFonts w:ascii="Arial" w:hAnsi="Arial" w:cs="Arial"/>
        </w:rPr>
        <w:t>, uma vez que somente 10% dos postos de Maryland, quando a verticalização era permitida, eram operados por refinarias</w:t>
      </w:r>
      <w:r w:rsidR="00F2287B" w:rsidRPr="00F125C5">
        <w:rPr>
          <w:rFonts w:ascii="Arial" w:hAnsi="Arial" w:cs="Arial"/>
        </w:rPr>
        <w:t xml:space="preserve">. </w:t>
      </w:r>
    </w:p>
    <w:p w14:paraId="6DDFD548" w14:textId="49550F71" w:rsidR="00AD6FF4" w:rsidRPr="00F125C5" w:rsidRDefault="00AD6FF4" w:rsidP="00BF7146">
      <w:pPr>
        <w:tabs>
          <w:tab w:val="left" w:pos="709"/>
        </w:tabs>
        <w:spacing w:after="0" w:line="360" w:lineRule="auto"/>
        <w:jc w:val="both"/>
        <w:rPr>
          <w:rFonts w:ascii="Arial" w:hAnsi="Arial" w:cs="Arial"/>
        </w:rPr>
      </w:pPr>
      <w:r w:rsidRPr="00F125C5">
        <w:rPr>
          <w:rFonts w:ascii="Arial" w:hAnsi="Arial" w:cs="Arial"/>
        </w:rPr>
        <w:tab/>
      </w:r>
      <w:proofErr w:type="spellStart"/>
      <w:r w:rsidR="00DC51D2" w:rsidRPr="00F125C5">
        <w:rPr>
          <w:rFonts w:ascii="Arial" w:hAnsi="Arial" w:cs="Arial"/>
        </w:rPr>
        <w:t>Slade</w:t>
      </w:r>
      <w:proofErr w:type="spellEnd"/>
      <w:r w:rsidR="00DC51D2" w:rsidRPr="00F125C5">
        <w:rPr>
          <w:rFonts w:ascii="Arial" w:hAnsi="Arial" w:cs="Arial"/>
        </w:rPr>
        <w:t xml:space="preserve"> (1998)</w:t>
      </w:r>
      <w:r w:rsidR="006D0658" w:rsidRPr="00F125C5">
        <w:rPr>
          <w:rFonts w:ascii="Arial" w:hAnsi="Arial" w:cs="Arial"/>
        </w:rPr>
        <w:t>, por sua vez,</w:t>
      </w:r>
      <w:r w:rsidR="00DC51D2" w:rsidRPr="00F125C5">
        <w:rPr>
          <w:rFonts w:ascii="Arial" w:hAnsi="Arial" w:cs="Arial"/>
        </w:rPr>
        <w:t xml:space="preserve"> </w:t>
      </w:r>
      <w:r w:rsidR="00C047F8" w:rsidRPr="00F125C5">
        <w:rPr>
          <w:rFonts w:ascii="Arial" w:hAnsi="Arial" w:cs="Arial"/>
        </w:rPr>
        <w:t>analisou t</w:t>
      </w:r>
      <w:r w:rsidR="00C047F8" w:rsidRPr="00F125C5">
        <w:rPr>
          <w:rFonts w:ascii="Arial" w:hAnsi="Arial" w:cs="Arial"/>
          <w:lang w:val="pt-PT"/>
        </w:rPr>
        <w:t xml:space="preserve">odos os contratos entre empresas petrolíferas privadas e integradas e seus postos revendedores na cidade de Vancouver, </w:t>
      </w:r>
      <w:r w:rsidR="0068008E" w:rsidRPr="00F125C5">
        <w:rPr>
          <w:rFonts w:ascii="Arial" w:hAnsi="Arial" w:cs="Arial"/>
          <w:lang w:val="pt-PT"/>
        </w:rPr>
        <w:t xml:space="preserve">no </w:t>
      </w:r>
      <w:r w:rsidR="00C047F8" w:rsidRPr="00F125C5">
        <w:rPr>
          <w:rFonts w:ascii="Arial" w:hAnsi="Arial" w:cs="Arial"/>
          <w:lang w:val="pt-PT"/>
        </w:rPr>
        <w:t>Canadá, identificando a refinaria envolvida, a natureza do contrato entre a empresa e o posto e um conjunto abrangente de características do posto. Como cada empresa escolhia um dos vários contratos-padrão para cada uma de seus postos bandeirados, foi possível utilizar esses dados para investigar a relação entre a escolha do contrato e os atributos do posto.</w:t>
      </w:r>
      <w:r w:rsidR="00C67DF6" w:rsidRPr="00F125C5">
        <w:rPr>
          <w:rFonts w:ascii="Arial" w:hAnsi="Arial" w:cs="Arial"/>
        </w:rPr>
        <w:t xml:space="preserve"> A conclusão da autora foi que os postos que tinham o potencial de realizar melhorias significativas em preços/margens em razão da separação vertical eram mais propensos </w:t>
      </w:r>
      <w:r w:rsidR="00D904DC" w:rsidRPr="00F125C5">
        <w:rPr>
          <w:rFonts w:ascii="Arial" w:hAnsi="Arial" w:cs="Arial"/>
        </w:rPr>
        <w:t xml:space="preserve">a </w:t>
      </w:r>
      <w:r w:rsidR="00C67DF6" w:rsidRPr="00F125C5">
        <w:rPr>
          <w:rFonts w:ascii="Arial" w:hAnsi="Arial" w:cs="Arial"/>
        </w:rPr>
        <w:t>ter autoridade para definir preços do varejo (ou seja, não serem verticalmente integradas).</w:t>
      </w:r>
      <w:r w:rsidR="005E4EB6" w:rsidRPr="00F125C5">
        <w:rPr>
          <w:rFonts w:ascii="Arial" w:hAnsi="Arial" w:cs="Arial"/>
        </w:rPr>
        <w:t xml:space="preserve"> </w:t>
      </w:r>
    </w:p>
    <w:p w14:paraId="57655ADC" w14:textId="04C7476D" w:rsidR="00536431" w:rsidRPr="00F125C5" w:rsidRDefault="00052B8E" w:rsidP="00BF7146">
      <w:pPr>
        <w:tabs>
          <w:tab w:val="left" w:pos="709"/>
        </w:tabs>
        <w:spacing w:after="0" w:line="360" w:lineRule="auto"/>
        <w:jc w:val="both"/>
        <w:rPr>
          <w:rFonts w:ascii="Arial" w:hAnsi="Arial" w:cs="Arial"/>
        </w:rPr>
      </w:pPr>
      <w:r w:rsidRPr="00F125C5">
        <w:rPr>
          <w:rFonts w:ascii="Arial" w:hAnsi="Arial" w:cs="Arial"/>
        </w:rPr>
        <w:tab/>
      </w:r>
      <w:r w:rsidR="00C5098E" w:rsidRPr="00F125C5">
        <w:rPr>
          <w:rFonts w:ascii="Arial" w:hAnsi="Arial" w:cs="Arial"/>
        </w:rPr>
        <w:t>Gold</w:t>
      </w:r>
      <w:r w:rsidR="00BC58E8" w:rsidRPr="00F125C5">
        <w:rPr>
          <w:rFonts w:ascii="Arial" w:hAnsi="Arial" w:cs="Arial"/>
        </w:rPr>
        <w:t xml:space="preserve">stein, Gold e </w:t>
      </w:r>
      <w:proofErr w:type="spellStart"/>
      <w:r w:rsidR="00BC58E8" w:rsidRPr="00F125C5">
        <w:rPr>
          <w:rFonts w:ascii="Arial" w:hAnsi="Arial" w:cs="Arial"/>
        </w:rPr>
        <w:t>Kleit</w:t>
      </w:r>
      <w:proofErr w:type="spellEnd"/>
      <w:r w:rsidR="00BC58E8" w:rsidRPr="00F125C5">
        <w:rPr>
          <w:rFonts w:ascii="Arial" w:hAnsi="Arial" w:cs="Arial"/>
        </w:rPr>
        <w:t xml:space="preserve"> (1998) </w:t>
      </w:r>
      <w:r w:rsidR="005B710D" w:rsidRPr="00F125C5">
        <w:rPr>
          <w:rFonts w:ascii="Arial" w:hAnsi="Arial" w:cs="Arial"/>
        </w:rPr>
        <w:t xml:space="preserve">também analisaram </w:t>
      </w:r>
      <w:r w:rsidR="00986DF2" w:rsidRPr="00F125C5">
        <w:rPr>
          <w:rFonts w:ascii="Arial" w:hAnsi="Arial" w:cs="Arial"/>
        </w:rPr>
        <w:t>leis de divórcio</w:t>
      </w:r>
      <w:r w:rsidR="00DE1DEC" w:rsidRPr="00F125C5">
        <w:rPr>
          <w:rFonts w:ascii="Arial" w:hAnsi="Arial" w:cs="Arial"/>
        </w:rPr>
        <w:t xml:space="preserve"> </w:t>
      </w:r>
      <w:r w:rsidR="00C72923" w:rsidRPr="00F125C5">
        <w:rPr>
          <w:rFonts w:ascii="Arial" w:hAnsi="Arial" w:cs="Arial"/>
        </w:rPr>
        <w:t xml:space="preserve">de </w:t>
      </w:r>
      <w:r w:rsidR="00DE1DEC" w:rsidRPr="00F125C5">
        <w:rPr>
          <w:rFonts w:ascii="Arial" w:hAnsi="Arial" w:cs="Arial"/>
        </w:rPr>
        <w:t>diferentes localidades do</w:t>
      </w:r>
      <w:r w:rsidR="001A1B55" w:rsidRPr="00F125C5">
        <w:rPr>
          <w:rFonts w:ascii="Arial" w:hAnsi="Arial" w:cs="Arial"/>
        </w:rPr>
        <w:t>s</w:t>
      </w:r>
      <w:r w:rsidR="00DE1DEC" w:rsidRPr="00F125C5">
        <w:rPr>
          <w:rFonts w:ascii="Arial" w:hAnsi="Arial" w:cs="Arial"/>
        </w:rPr>
        <w:t xml:space="preserve"> Estados Unidos, </w:t>
      </w:r>
      <w:r w:rsidR="00F901DD" w:rsidRPr="00F125C5">
        <w:rPr>
          <w:rFonts w:ascii="Arial" w:hAnsi="Arial" w:cs="Arial"/>
        </w:rPr>
        <w:t xml:space="preserve">que limitavam, mais uma vez, o controle de </w:t>
      </w:r>
      <w:r w:rsidR="00F901DD" w:rsidRPr="00F125C5">
        <w:rPr>
          <w:rFonts w:ascii="Arial" w:hAnsi="Arial" w:cs="Arial"/>
          <w:u w:val="single"/>
        </w:rPr>
        <w:t>refinarias</w:t>
      </w:r>
      <w:r w:rsidR="00387B64" w:rsidRPr="00F125C5">
        <w:rPr>
          <w:rFonts w:ascii="Arial" w:hAnsi="Arial" w:cs="Arial"/>
        </w:rPr>
        <w:t xml:space="preserve"> sobre postos revendedores. </w:t>
      </w:r>
      <w:r w:rsidR="009268CD" w:rsidRPr="00F125C5">
        <w:rPr>
          <w:rFonts w:ascii="Arial" w:hAnsi="Arial" w:cs="Arial"/>
        </w:rPr>
        <w:t>A conclusão dos autores é que, no geral, não há evidências de que exista uma necessidade de o governo legislar sobre os limites das relações entre refinadores e revendedores. Para eles, as evidências disponíveis suger</w:t>
      </w:r>
      <w:r w:rsidR="000A112B" w:rsidRPr="00F125C5">
        <w:rPr>
          <w:rFonts w:ascii="Arial" w:hAnsi="Arial" w:cs="Arial"/>
        </w:rPr>
        <w:t>ia</w:t>
      </w:r>
      <w:r w:rsidR="009268CD" w:rsidRPr="00F125C5">
        <w:rPr>
          <w:rFonts w:ascii="Arial" w:hAnsi="Arial" w:cs="Arial"/>
        </w:rPr>
        <w:t xml:space="preserve">m </w:t>
      </w:r>
      <w:r w:rsidR="000A112B" w:rsidRPr="00F125C5">
        <w:rPr>
          <w:rFonts w:ascii="Arial" w:hAnsi="Arial" w:cs="Arial"/>
        </w:rPr>
        <w:t xml:space="preserve">que a </w:t>
      </w:r>
      <w:r w:rsidR="009268CD" w:rsidRPr="00F125C5">
        <w:rPr>
          <w:rFonts w:ascii="Arial" w:hAnsi="Arial" w:cs="Arial"/>
        </w:rPr>
        <w:t xml:space="preserve">ação não seria do amplo interesse público. Apesar de indicarem que os estudos mais detalhados sobre o tema sugerem que leis de divórcio têm como resultado uma redução da concorrência e aumento de preços aos consumidores, ao menos entre as maiores empresas, apenas uma minoria irrisória de seus postos bandeirados era diretamente detida pelas refinarias </w:t>
      </w:r>
      <w:r w:rsidR="001119AE" w:rsidRPr="00F125C5">
        <w:rPr>
          <w:rFonts w:ascii="Arial" w:hAnsi="Arial" w:cs="Arial"/>
        </w:rPr>
        <w:t xml:space="preserve">(20%) </w:t>
      </w:r>
      <w:r w:rsidR="009268CD" w:rsidRPr="00F125C5">
        <w:rPr>
          <w:rFonts w:ascii="Arial" w:hAnsi="Arial" w:cs="Arial"/>
        </w:rPr>
        <w:t>e, dentro delas, um número ainda menor (em torno de 5%) era diretamente operado por elas</w:t>
      </w:r>
      <w:r w:rsidR="000A112B" w:rsidRPr="00F125C5">
        <w:rPr>
          <w:rFonts w:ascii="Arial" w:hAnsi="Arial" w:cs="Arial"/>
        </w:rPr>
        <w:t xml:space="preserve">, evidenciando que </w:t>
      </w:r>
      <w:r w:rsidR="00B03D6C" w:rsidRPr="00F125C5">
        <w:rPr>
          <w:rFonts w:ascii="Arial" w:hAnsi="Arial" w:cs="Arial"/>
        </w:rPr>
        <w:t>essa estratégia não é de muito interesse</w:t>
      </w:r>
      <w:r w:rsidR="0044506C" w:rsidRPr="00F125C5">
        <w:rPr>
          <w:rFonts w:ascii="Arial" w:hAnsi="Arial" w:cs="Arial"/>
        </w:rPr>
        <w:t xml:space="preserve"> das refinarias</w:t>
      </w:r>
      <w:r w:rsidR="00B03D6C" w:rsidRPr="00F125C5">
        <w:rPr>
          <w:rFonts w:ascii="Arial" w:hAnsi="Arial" w:cs="Arial"/>
        </w:rPr>
        <w:t xml:space="preserve">. </w:t>
      </w:r>
      <w:r w:rsidR="001D7268" w:rsidRPr="00F125C5">
        <w:rPr>
          <w:rFonts w:ascii="Arial" w:hAnsi="Arial" w:cs="Arial"/>
          <w:lang w:val="pt-PT"/>
        </w:rPr>
        <w:t xml:space="preserve">O restante (15%), era operado por arrendatários. </w:t>
      </w:r>
    </w:p>
    <w:p w14:paraId="43E3D67E" w14:textId="6571035B" w:rsidR="00A43F3F" w:rsidRPr="00F125C5" w:rsidRDefault="00052B8E" w:rsidP="00BF7146">
      <w:pPr>
        <w:tabs>
          <w:tab w:val="left" w:pos="709"/>
        </w:tabs>
        <w:spacing w:after="0" w:line="360" w:lineRule="auto"/>
        <w:jc w:val="both"/>
        <w:rPr>
          <w:rFonts w:ascii="Arial" w:hAnsi="Arial" w:cs="Arial"/>
          <w:lang w:val="pt-PT"/>
        </w:rPr>
      </w:pPr>
      <w:r w:rsidRPr="00F125C5">
        <w:rPr>
          <w:rFonts w:ascii="Arial" w:hAnsi="Arial" w:cs="Arial"/>
        </w:rPr>
        <w:tab/>
      </w:r>
      <w:r w:rsidR="00C35CCD" w:rsidRPr="00F125C5">
        <w:rPr>
          <w:rFonts w:ascii="Arial" w:hAnsi="Arial" w:cs="Arial"/>
        </w:rPr>
        <w:t xml:space="preserve">Vita (2000) </w:t>
      </w:r>
      <w:r w:rsidR="005D2C6B" w:rsidRPr="00F125C5">
        <w:rPr>
          <w:rFonts w:ascii="Arial" w:hAnsi="Arial" w:cs="Arial"/>
          <w:lang w:val="pt-PT"/>
        </w:rPr>
        <w:t>apontou</w:t>
      </w:r>
      <w:r w:rsidR="00DF3507" w:rsidRPr="00F125C5">
        <w:rPr>
          <w:rFonts w:ascii="Arial" w:hAnsi="Arial" w:cs="Arial"/>
          <w:lang w:val="pt-PT"/>
        </w:rPr>
        <w:t xml:space="preserve"> que, </w:t>
      </w:r>
      <w:r w:rsidR="004F62E9" w:rsidRPr="00F125C5">
        <w:rPr>
          <w:rFonts w:ascii="Arial" w:hAnsi="Arial" w:cs="Arial"/>
        </w:rPr>
        <w:t>d</w:t>
      </w:r>
      <w:r w:rsidR="004F62E9" w:rsidRPr="00F125C5">
        <w:rPr>
          <w:rFonts w:ascii="Arial" w:hAnsi="Arial" w:cs="Arial"/>
          <w:lang w:val="pt-PT"/>
        </w:rPr>
        <w:t>e uma perspectiva teórica, as leis de divórcio podem ter um efeito positivo ou negativo sobre os preços de varejo</w:t>
      </w:r>
      <w:r w:rsidR="00A43F3F" w:rsidRPr="00F125C5">
        <w:rPr>
          <w:rFonts w:ascii="Arial" w:hAnsi="Arial" w:cs="Arial"/>
          <w:lang w:val="pt-PT"/>
        </w:rPr>
        <w:t xml:space="preserve">. </w:t>
      </w:r>
      <w:r w:rsidR="005D2C6B" w:rsidRPr="00F125C5">
        <w:rPr>
          <w:rFonts w:ascii="Arial" w:hAnsi="Arial" w:cs="Arial"/>
          <w:lang w:val="pt-PT"/>
        </w:rPr>
        <w:t>Com efeito</w:t>
      </w:r>
      <w:r w:rsidR="00A43F3F" w:rsidRPr="00F125C5">
        <w:rPr>
          <w:rFonts w:ascii="Arial" w:hAnsi="Arial" w:cs="Arial"/>
          <w:lang w:val="pt-PT"/>
        </w:rPr>
        <w:t xml:space="preserve">, </w:t>
      </w:r>
      <w:r w:rsidR="001A2929" w:rsidRPr="00F125C5">
        <w:rPr>
          <w:rFonts w:ascii="Arial" w:hAnsi="Arial" w:cs="Arial"/>
          <w:lang w:val="pt-PT"/>
        </w:rPr>
        <w:t>se o principal efeito da lei é atenuar o fechamento de mercado vertical (anticoncorrencial),</w:t>
      </w:r>
      <w:r w:rsidR="002439E1" w:rsidRPr="00F125C5">
        <w:rPr>
          <w:rFonts w:ascii="Arial" w:hAnsi="Arial" w:cs="Arial"/>
          <w:lang w:val="pt-PT"/>
        </w:rPr>
        <w:t xml:space="preserve"> deve-se esperar observar menores preços de equilíbrio nos lugares que vedam a verticalização do que nos estados que não o fazem.</w:t>
      </w:r>
      <w:r w:rsidR="005D2C6B" w:rsidRPr="00F125C5">
        <w:rPr>
          <w:rFonts w:ascii="Arial" w:hAnsi="Arial" w:cs="Arial"/>
          <w:lang w:val="pt-PT"/>
        </w:rPr>
        <w:t xml:space="preserve"> O resultado oposto deve ser obtido se as políticas de divórcio impedirem que os refinadores e varejistas realizem eficiências que somente </w:t>
      </w:r>
      <w:r w:rsidR="005D2C6B" w:rsidRPr="00F125C5">
        <w:rPr>
          <w:rFonts w:ascii="Arial" w:hAnsi="Arial" w:cs="Arial"/>
          <w:lang w:val="pt-PT"/>
        </w:rPr>
        <w:lastRenderedPageBreak/>
        <w:t xml:space="preserve">podem ser obtidas </w:t>
      </w:r>
      <w:r w:rsidR="001A1B55" w:rsidRPr="00F125C5">
        <w:rPr>
          <w:rFonts w:ascii="Arial" w:hAnsi="Arial" w:cs="Arial"/>
          <w:lang w:val="pt-PT"/>
        </w:rPr>
        <w:t xml:space="preserve">por meio </w:t>
      </w:r>
      <w:r w:rsidR="005D2C6B" w:rsidRPr="00F125C5">
        <w:rPr>
          <w:rFonts w:ascii="Arial" w:hAnsi="Arial" w:cs="Arial"/>
          <w:lang w:val="pt-PT"/>
        </w:rPr>
        <w:t>da verticalização.</w:t>
      </w:r>
      <w:r w:rsidR="00536431" w:rsidRPr="00F125C5">
        <w:rPr>
          <w:rFonts w:ascii="Arial" w:hAnsi="Arial" w:cs="Arial"/>
          <w:color w:val="000000"/>
          <w:lang w:val="pt-PT"/>
        </w:rPr>
        <w:t xml:space="preserve"> </w:t>
      </w:r>
      <w:r w:rsidR="008B0C4B" w:rsidRPr="00F125C5">
        <w:rPr>
          <w:rFonts w:ascii="Arial" w:hAnsi="Arial" w:cs="Arial"/>
          <w:lang w:val="pt-PT"/>
        </w:rPr>
        <w:t xml:space="preserve">Mais uma vez, as limitações impostas diziam respeito à vedação de que refinarias detivessem postos revendedores. </w:t>
      </w:r>
      <w:r w:rsidRPr="00F125C5">
        <w:rPr>
          <w:rFonts w:ascii="Arial" w:hAnsi="Arial" w:cs="Arial"/>
          <w:lang w:val="pt-PT"/>
        </w:rPr>
        <w:tab/>
      </w:r>
    </w:p>
    <w:p w14:paraId="654180AE" w14:textId="2EB53BEF" w:rsidR="001A1B55" w:rsidRPr="00F125C5" w:rsidRDefault="001D0C1E" w:rsidP="00BF7146">
      <w:pPr>
        <w:spacing w:after="0" w:line="360" w:lineRule="auto"/>
        <w:ind w:firstLine="708"/>
        <w:jc w:val="both"/>
        <w:rPr>
          <w:rFonts w:ascii="Arial" w:hAnsi="Arial" w:cs="Arial"/>
        </w:rPr>
      </w:pPr>
      <w:r w:rsidRPr="00F125C5">
        <w:rPr>
          <w:rFonts w:ascii="Arial" w:hAnsi="Arial" w:cs="Arial"/>
        </w:rPr>
        <w:t>P</w:t>
      </w:r>
      <w:r w:rsidR="00BB11CE" w:rsidRPr="00F125C5">
        <w:rPr>
          <w:rFonts w:ascii="Arial" w:hAnsi="Arial" w:cs="Arial"/>
        </w:rPr>
        <w:t xml:space="preserve">or fim, </w:t>
      </w:r>
      <w:proofErr w:type="spellStart"/>
      <w:r w:rsidR="00BB11CE" w:rsidRPr="00F125C5">
        <w:rPr>
          <w:rFonts w:ascii="Arial" w:hAnsi="Arial" w:cs="Arial"/>
        </w:rPr>
        <w:t>Slade</w:t>
      </w:r>
      <w:proofErr w:type="spellEnd"/>
      <w:r w:rsidR="00BB11CE" w:rsidRPr="00F125C5">
        <w:rPr>
          <w:rFonts w:ascii="Arial" w:hAnsi="Arial" w:cs="Arial"/>
        </w:rPr>
        <w:t xml:space="preserve"> e </w:t>
      </w:r>
      <w:proofErr w:type="spellStart"/>
      <w:r w:rsidR="00BB11CE" w:rsidRPr="00F125C5">
        <w:rPr>
          <w:rFonts w:ascii="Arial" w:hAnsi="Arial" w:cs="Arial"/>
        </w:rPr>
        <w:t>Lafontaine</w:t>
      </w:r>
      <w:proofErr w:type="spellEnd"/>
      <w:r w:rsidR="00BB11CE" w:rsidRPr="00F125C5">
        <w:rPr>
          <w:rFonts w:ascii="Arial" w:hAnsi="Arial" w:cs="Arial"/>
        </w:rPr>
        <w:t xml:space="preserve"> (2008) </w:t>
      </w:r>
      <w:r w:rsidR="00560AAA" w:rsidRPr="00F125C5">
        <w:rPr>
          <w:rFonts w:ascii="Arial" w:hAnsi="Arial" w:cs="Arial"/>
        </w:rPr>
        <w:t xml:space="preserve">apontam que, de maneira semelhante à teoria, os estudos empíricos tratando dos efeitos </w:t>
      </w:r>
      <w:proofErr w:type="spellStart"/>
      <w:r w:rsidR="00560AAA" w:rsidRPr="00F125C5">
        <w:rPr>
          <w:rFonts w:ascii="Arial" w:hAnsi="Arial" w:cs="Arial"/>
        </w:rPr>
        <w:t>anticompetitivos</w:t>
      </w:r>
      <w:proofErr w:type="spellEnd"/>
      <w:r w:rsidR="00560AAA" w:rsidRPr="00F125C5">
        <w:rPr>
          <w:rFonts w:ascii="Arial" w:hAnsi="Arial" w:cs="Arial"/>
        </w:rPr>
        <w:t xml:space="preserve"> de restrições verticais também são fragmentados, destacando a necessidade de mais estudos serem realizados nessa área.</w:t>
      </w:r>
      <w:r w:rsidR="00221EF8" w:rsidRPr="00F125C5">
        <w:rPr>
          <w:rFonts w:ascii="Arial" w:hAnsi="Arial" w:cs="Arial"/>
        </w:rPr>
        <w:t xml:space="preserve"> Em que pese esta necessidade, as autoras </w:t>
      </w:r>
      <w:r w:rsidR="00617086" w:rsidRPr="00F125C5">
        <w:rPr>
          <w:rFonts w:ascii="Arial" w:hAnsi="Arial" w:cs="Arial"/>
        </w:rPr>
        <w:t>concluem</w:t>
      </w:r>
      <w:r w:rsidR="00221EF8" w:rsidRPr="00F125C5">
        <w:rPr>
          <w:rFonts w:ascii="Arial" w:hAnsi="Arial" w:cs="Arial"/>
        </w:rPr>
        <w:t xml:space="preserve"> que os estudos existentes</w:t>
      </w:r>
      <w:r w:rsidR="00A8764B" w:rsidRPr="00F125C5">
        <w:rPr>
          <w:rFonts w:ascii="Arial" w:hAnsi="Arial" w:cs="Arial"/>
        </w:rPr>
        <w:t xml:space="preserve"> </w:t>
      </w:r>
      <w:r w:rsidR="00617086" w:rsidRPr="00F125C5">
        <w:rPr>
          <w:rFonts w:ascii="Arial" w:hAnsi="Arial" w:cs="Arial"/>
        </w:rPr>
        <w:t>sugerem</w:t>
      </w:r>
      <w:r w:rsidR="00221EF8" w:rsidRPr="00F125C5">
        <w:rPr>
          <w:rFonts w:ascii="Arial" w:hAnsi="Arial" w:cs="Arial"/>
        </w:rPr>
        <w:t xml:space="preserve"> que as leis de divórcio implicaram aumento de preços e diminuição das horas de operação de postos revendedores. Foi feita, contudo, a ressalva de que, tendo em vista </w:t>
      </w:r>
      <w:r w:rsidR="00A8764B" w:rsidRPr="00F125C5">
        <w:rPr>
          <w:rFonts w:ascii="Arial" w:hAnsi="Arial" w:cs="Arial"/>
        </w:rPr>
        <w:t>a quantidade</w:t>
      </w:r>
      <w:r w:rsidR="00221EF8" w:rsidRPr="00F125C5">
        <w:rPr>
          <w:rFonts w:ascii="Arial" w:hAnsi="Arial" w:cs="Arial"/>
        </w:rPr>
        <w:t xml:space="preserve"> </w:t>
      </w:r>
      <w:r w:rsidR="00A8764B" w:rsidRPr="00F125C5">
        <w:rPr>
          <w:rFonts w:ascii="Arial" w:hAnsi="Arial" w:cs="Arial"/>
        </w:rPr>
        <w:t>reduzida</w:t>
      </w:r>
      <w:r w:rsidR="00221EF8" w:rsidRPr="00F125C5">
        <w:rPr>
          <w:rFonts w:ascii="Arial" w:hAnsi="Arial" w:cs="Arial"/>
        </w:rPr>
        <w:t xml:space="preserve"> de </w:t>
      </w:r>
      <w:r w:rsidR="005A4A0B" w:rsidRPr="00F125C5">
        <w:rPr>
          <w:rFonts w:ascii="Arial" w:hAnsi="Arial" w:cs="Arial"/>
        </w:rPr>
        <w:t>trabalhos</w:t>
      </w:r>
      <w:r w:rsidR="00221EF8" w:rsidRPr="00F125C5">
        <w:rPr>
          <w:rFonts w:ascii="Arial" w:hAnsi="Arial" w:cs="Arial"/>
        </w:rPr>
        <w:t>, é difícil fazer afirmações definitivas com base nos dados empíricos</w:t>
      </w:r>
      <w:r w:rsidR="00617086" w:rsidRPr="00F125C5">
        <w:rPr>
          <w:rFonts w:ascii="Arial" w:hAnsi="Arial" w:cs="Arial"/>
        </w:rPr>
        <w:t xml:space="preserve">, ressaltando </w:t>
      </w:r>
      <w:r w:rsidR="00221EF8" w:rsidRPr="00F125C5">
        <w:rPr>
          <w:rFonts w:ascii="Arial" w:hAnsi="Arial" w:cs="Arial"/>
        </w:rPr>
        <w:t xml:space="preserve">a necessidade de </w:t>
      </w:r>
      <w:r w:rsidR="00B8010A" w:rsidRPr="00F125C5">
        <w:rPr>
          <w:rFonts w:ascii="Arial" w:hAnsi="Arial" w:cs="Arial"/>
        </w:rPr>
        <w:t xml:space="preserve">que </w:t>
      </w:r>
      <w:r w:rsidR="00221EF8" w:rsidRPr="00F125C5">
        <w:rPr>
          <w:rFonts w:ascii="Arial" w:hAnsi="Arial" w:cs="Arial"/>
        </w:rPr>
        <w:t xml:space="preserve">outras relações para além da revenda devem ser analisadas, para que se possa endereçar os efeitos das restrições verticais em outros contextos. </w:t>
      </w:r>
    </w:p>
    <w:p w14:paraId="7AD27C3B" w14:textId="1A2B33F0" w:rsidR="001D0C1E" w:rsidRPr="00F125C5" w:rsidRDefault="0033233C" w:rsidP="00BF7146">
      <w:pPr>
        <w:spacing w:after="0" w:line="360" w:lineRule="auto"/>
        <w:ind w:firstLine="708"/>
        <w:jc w:val="both"/>
        <w:rPr>
          <w:rFonts w:ascii="Arial" w:hAnsi="Arial" w:cs="Arial"/>
        </w:rPr>
      </w:pPr>
      <w:r w:rsidRPr="00F125C5">
        <w:rPr>
          <w:rFonts w:ascii="Arial" w:hAnsi="Arial" w:cs="Arial"/>
        </w:rPr>
        <w:t xml:space="preserve">Há elementos centrais de todos os estudos citados pelo </w:t>
      </w:r>
      <w:proofErr w:type="spellStart"/>
      <w:r w:rsidRPr="00F125C5">
        <w:rPr>
          <w:rFonts w:ascii="Arial" w:hAnsi="Arial" w:cs="Arial"/>
        </w:rPr>
        <w:t>Cade</w:t>
      </w:r>
      <w:proofErr w:type="spellEnd"/>
      <w:r w:rsidRPr="00F125C5">
        <w:rPr>
          <w:rFonts w:ascii="Arial" w:hAnsi="Arial" w:cs="Arial"/>
        </w:rPr>
        <w:t xml:space="preserve"> que devem, portanto, ser devidamente considerados para se analisar o real impacto regulatório de eventual </w:t>
      </w:r>
      <w:r w:rsidR="00DE157C" w:rsidRPr="00F125C5">
        <w:rPr>
          <w:rFonts w:ascii="Arial" w:hAnsi="Arial" w:cs="Arial"/>
        </w:rPr>
        <w:t xml:space="preserve">mudança do marco que veda a verticalização no setor de combustíveis. Como visto, os estudos </w:t>
      </w:r>
      <w:r w:rsidR="00766798" w:rsidRPr="00F125C5">
        <w:rPr>
          <w:rFonts w:ascii="Arial" w:hAnsi="Arial" w:cs="Arial"/>
        </w:rPr>
        <w:t xml:space="preserve">analisados </w:t>
      </w:r>
      <w:r w:rsidR="009464A9" w:rsidRPr="00F125C5">
        <w:rPr>
          <w:rFonts w:ascii="Arial" w:hAnsi="Arial" w:cs="Arial"/>
        </w:rPr>
        <w:t xml:space="preserve">tiveram como objeto </w:t>
      </w:r>
      <w:r w:rsidR="00160CB6" w:rsidRPr="00F125C5">
        <w:rPr>
          <w:rFonts w:ascii="Arial" w:hAnsi="Arial" w:cs="Arial"/>
        </w:rPr>
        <w:t xml:space="preserve">mercados muitos diferentes do brasileiro, </w:t>
      </w:r>
      <w:r w:rsidR="00083FD8" w:rsidRPr="00F125C5">
        <w:rPr>
          <w:rFonts w:ascii="Arial" w:hAnsi="Arial" w:cs="Arial"/>
        </w:rPr>
        <w:t xml:space="preserve">visto que neles existia </w:t>
      </w:r>
      <w:r w:rsidR="00CB17EC" w:rsidRPr="00F125C5">
        <w:rPr>
          <w:rFonts w:ascii="Arial" w:hAnsi="Arial" w:cs="Arial"/>
        </w:rPr>
        <w:t>concorrência no elo da produção, o que não ocorre no Brasil, país ainda marcado pelo monopólio de fato neste elo cadeia produtiva de combustíveis. Como será demonstrado n</w:t>
      </w:r>
      <w:r w:rsidR="00E908ED" w:rsidRPr="00F125C5">
        <w:rPr>
          <w:rFonts w:ascii="Arial" w:hAnsi="Arial" w:cs="Arial"/>
        </w:rPr>
        <w:t xml:space="preserve">a Seção </w:t>
      </w:r>
      <w:r w:rsidR="00597ABE" w:rsidRPr="00F125C5">
        <w:rPr>
          <w:rFonts w:ascii="Arial" w:hAnsi="Arial" w:cs="Arial"/>
        </w:rPr>
        <w:t>5</w:t>
      </w:r>
      <w:r w:rsidR="00E908ED" w:rsidRPr="00F125C5">
        <w:rPr>
          <w:rFonts w:ascii="Arial" w:hAnsi="Arial" w:cs="Arial"/>
        </w:rPr>
        <w:t xml:space="preserve"> </w:t>
      </w:r>
      <w:r w:rsidR="00CB17EC" w:rsidRPr="00F125C5">
        <w:rPr>
          <w:rFonts w:ascii="Arial" w:hAnsi="Arial" w:cs="Arial"/>
        </w:rPr>
        <w:t xml:space="preserve">desta manifestação, </w:t>
      </w:r>
      <w:r w:rsidR="006354AD" w:rsidRPr="00F125C5">
        <w:rPr>
          <w:rFonts w:ascii="Arial" w:hAnsi="Arial" w:cs="Arial"/>
        </w:rPr>
        <w:t xml:space="preserve">o monopólio brasileiro </w:t>
      </w:r>
      <w:r w:rsidR="00076F56" w:rsidRPr="00F125C5">
        <w:rPr>
          <w:rFonts w:ascii="Arial" w:hAnsi="Arial" w:cs="Arial"/>
        </w:rPr>
        <w:t xml:space="preserve">no elo produtivo </w:t>
      </w:r>
      <w:r w:rsidR="001931A7" w:rsidRPr="00F125C5">
        <w:rPr>
          <w:rFonts w:ascii="Arial" w:hAnsi="Arial" w:cs="Arial"/>
        </w:rPr>
        <w:t xml:space="preserve">deve ser considerado </w:t>
      </w:r>
      <w:r w:rsidR="002C158D" w:rsidRPr="00F125C5">
        <w:rPr>
          <w:rFonts w:ascii="Arial" w:hAnsi="Arial" w:cs="Arial"/>
        </w:rPr>
        <w:t xml:space="preserve">na análise de eventual verticalização entre a produção e a revenda, </w:t>
      </w:r>
      <w:r w:rsidR="001F269B" w:rsidRPr="00F125C5">
        <w:rPr>
          <w:rFonts w:ascii="Arial" w:hAnsi="Arial" w:cs="Arial"/>
        </w:rPr>
        <w:t xml:space="preserve">em virtude dos riscos competitivos </w:t>
      </w:r>
      <w:r w:rsidR="00555EE0" w:rsidRPr="00F125C5">
        <w:rPr>
          <w:rFonts w:ascii="Arial" w:hAnsi="Arial" w:cs="Arial"/>
        </w:rPr>
        <w:t>que esta</w:t>
      </w:r>
      <w:r w:rsidR="001F269B" w:rsidRPr="00F125C5">
        <w:rPr>
          <w:rFonts w:ascii="Arial" w:hAnsi="Arial" w:cs="Arial"/>
        </w:rPr>
        <w:t xml:space="preserve"> estrutura</w:t>
      </w:r>
      <w:r w:rsidR="00555EE0" w:rsidRPr="00F125C5">
        <w:rPr>
          <w:rFonts w:ascii="Arial" w:hAnsi="Arial" w:cs="Arial"/>
        </w:rPr>
        <w:t xml:space="preserve"> pode representar para a revenda e para o mercado como um todo</w:t>
      </w:r>
      <w:r w:rsidR="001F269B" w:rsidRPr="00F125C5">
        <w:rPr>
          <w:rFonts w:ascii="Arial" w:hAnsi="Arial" w:cs="Arial"/>
        </w:rPr>
        <w:t xml:space="preserve">. </w:t>
      </w:r>
      <w:r w:rsidR="00083FD8" w:rsidRPr="00F125C5">
        <w:rPr>
          <w:rFonts w:ascii="Arial" w:hAnsi="Arial" w:cs="Arial"/>
        </w:rPr>
        <w:t xml:space="preserve"> </w:t>
      </w:r>
      <w:r w:rsidR="00555EE0" w:rsidRPr="00F125C5">
        <w:rPr>
          <w:rFonts w:ascii="Arial" w:hAnsi="Arial" w:cs="Arial"/>
        </w:rPr>
        <w:t>Ademais,</w:t>
      </w:r>
      <w:r w:rsidR="00083FD8" w:rsidRPr="00F125C5">
        <w:rPr>
          <w:rFonts w:ascii="Arial" w:hAnsi="Arial" w:cs="Arial"/>
        </w:rPr>
        <w:t xml:space="preserve"> </w:t>
      </w:r>
      <w:r w:rsidR="00555EE0" w:rsidRPr="00F125C5">
        <w:rPr>
          <w:rFonts w:ascii="Arial" w:hAnsi="Arial" w:cs="Arial"/>
        </w:rPr>
        <w:t xml:space="preserve">todas as leis analisadas nos estudos apontados pelo </w:t>
      </w:r>
      <w:proofErr w:type="spellStart"/>
      <w:r w:rsidR="00555EE0" w:rsidRPr="00F125C5">
        <w:rPr>
          <w:rFonts w:ascii="Arial" w:hAnsi="Arial" w:cs="Arial"/>
        </w:rPr>
        <w:t>Cade</w:t>
      </w:r>
      <w:proofErr w:type="spellEnd"/>
      <w:r w:rsidR="00555EE0" w:rsidRPr="00F125C5">
        <w:rPr>
          <w:rFonts w:ascii="Arial" w:hAnsi="Arial" w:cs="Arial"/>
        </w:rPr>
        <w:t xml:space="preserve"> tratavam da verticalização entre refinarias e revendedores</w:t>
      </w:r>
      <w:r w:rsidR="00ED48EB" w:rsidRPr="00F125C5">
        <w:rPr>
          <w:rFonts w:ascii="Arial" w:hAnsi="Arial" w:cs="Arial"/>
        </w:rPr>
        <w:t xml:space="preserve">, </w:t>
      </w:r>
      <w:r w:rsidR="00311EFF" w:rsidRPr="00F125C5">
        <w:rPr>
          <w:rFonts w:ascii="Arial" w:hAnsi="Arial" w:cs="Arial"/>
        </w:rPr>
        <w:t>mas foram utilizad</w:t>
      </w:r>
      <w:r w:rsidR="00090606" w:rsidRPr="00F125C5">
        <w:rPr>
          <w:rFonts w:ascii="Arial" w:hAnsi="Arial" w:cs="Arial"/>
        </w:rPr>
        <w:t xml:space="preserve">as </w:t>
      </w:r>
      <w:r w:rsidR="001D0C1E" w:rsidRPr="00F125C5">
        <w:rPr>
          <w:rFonts w:ascii="Arial" w:hAnsi="Arial" w:cs="Arial"/>
        </w:rPr>
        <w:t>estranhamente</w:t>
      </w:r>
      <w:r w:rsidR="00090606" w:rsidRPr="00F125C5">
        <w:rPr>
          <w:rFonts w:ascii="Arial" w:hAnsi="Arial" w:cs="Arial"/>
        </w:rPr>
        <w:t xml:space="preserve"> </w:t>
      </w:r>
      <w:r w:rsidR="005E5CE9" w:rsidRPr="00F125C5">
        <w:rPr>
          <w:rFonts w:ascii="Arial" w:hAnsi="Arial" w:cs="Arial"/>
        </w:rPr>
        <w:t xml:space="preserve">como </w:t>
      </w:r>
      <w:r w:rsidR="001D0C1E" w:rsidRPr="00F125C5">
        <w:rPr>
          <w:rFonts w:ascii="Arial" w:hAnsi="Arial" w:cs="Arial"/>
        </w:rPr>
        <w:t xml:space="preserve">possíveis </w:t>
      </w:r>
      <w:r w:rsidR="005E5CE9" w:rsidRPr="00F125C5">
        <w:rPr>
          <w:rFonts w:ascii="Arial" w:hAnsi="Arial" w:cs="Arial"/>
        </w:rPr>
        <w:t>argumento</w:t>
      </w:r>
      <w:r w:rsidR="001D0C1E" w:rsidRPr="00F125C5">
        <w:rPr>
          <w:rFonts w:ascii="Arial" w:hAnsi="Arial" w:cs="Arial"/>
        </w:rPr>
        <w:t>s</w:t>
      </w:r>
      <w:r w:rsidR="005E5CE9" w:rsidRPr="00F125C5">
        <w:rPr>
          <w:rFonts w:ascii="Arial" w:hAnsi="Arial" w:cs="Arial"/>
        </w:rPr>
        <w:t xml:space="preserve"> </w:t>
      </w:r>
      <w:r w:rsidR="009E43B6" w:rsidRPr="00F125C5">
        <w:rPr>
          <w:rFonts w:ascii="Arial" w:hAnsi="Arial" w:cs="Arial"/>
        </w:rPr>
        <w:t>em defesa da verticalização da distribuição. Diferenças destes elos, e seus consequentes riscos, devem ser devidamente ponderados.</w:t>
      </w:r>
    </w:p>
    <w:p w14:paraId="47E3AEA7" w14:textId="7EEA1972" w:rsidR="008355C1" w:rsidRPr="00F125C5" w:rsidRDefault="008355C1" w:rsidP="00F707F7">
      <w:pPr>
        <w:pStyle w:val="PargrafodaLista"/>
        <w:tabs>
          <w:tab w:val="left" w:pos="426"/>
        </w:tabs>
        <w:spacing w:after="0" w:line="360" w:lineRule="auto"/>
        <w:ind w:left="0"/>
        <w:jc w:val="both"/>
        <w:rPr>
          <w:rFonts w:ascii="Arial" w:hAnsi="Arial" w:cs="Arial"/>
          <w:b/>
        </w:rPr>
      </w:pPr>
    </w:p>
    <w:p w14:paraId="6C504CF5" w14:textId="3D6ED03F" w:rsidR="00291067" w:rsidRPr="00F125C5" w:rsidRDefault="004F1DB2" w:rsidP="004F1DB2">
      <w:pPr>
        <w:tabs>
          <w:tab w:val="left" w:pos="426"/>
        </w:tabs>
        <w:spacing w:after="0" w:line="360" w:lineRule="auto"/>
        <w:jc w:val="both"/>
        <w:rPr>
          <w:rFonts w:ascii="Arial" w:hAnsi="Arial" w:cs="Arial"/>
          <w:b/>
        </w:rPr>
      </w:pPr>
      <w:r w:rsidRPr="00F125C5">
        <w:rPr>
          <w:rFonts w:ascii="Arial" w:hAnsi="Arial" w:cs="Arial"/>
          <w:b/>
        </w:rPr>
        <w:t xml:space="preserve">3. </w:t>
      </w:r>
      <w:r w:rsidR="00291067" w:rsidRPr="00F125C5">
        <w:rPr>
          <w:rFonts w:ascii="Arial" w:hAnsi="Arial" w:cs="Arial"/>
          <w:b/>
        </w:rPr>
        <w:t xml:space="preserve">VERTICALIZAÇÃO: EFICIÊNCIAS VS. RISCOS COMPETITIVOS </w:t>
      </w:r>
    </w:p>
    <w:p w14:paraId="3591461D" w14:textId="77777777" w:rsidR="00F125C5" w:rsidRPr="00F125C5" w:rsidRDefault="00F125C5" w:rsidP="00F707F7">
      <w:pPr>
        <w:pStyle w:val="Textodecomentrio"/>
        <w:spacing w:line="360" w:lineRule="auto"/>
        <w:ind w:firstLine="708"/>
        <w:jc w:val="both"/>
        <w:rPr>
          <w:rFonts w:ascii="Arial" w:hAnsi="Arial" w:cs="Arial"/>
          <w:sz w:val="22"/>
          <w:szCs w:val="22"/>
        </w:rPr>
      </w:pPr>
    </w:p>
    <w:p w14:paraId="057B77AF" w14:textId="151EB406" w:rsidR="000C7B5A" w:rsidRPr="00F125C5" w:rsidRDefault="00930F56" w:rsidP="00F707F7">
      <w:pPr>
        <w:pStyle w:val="Textodecomentrio"/>
        <w:spacing w:line="360" w:lineRule="auto"/>
        <w:ind w:firstLine="708"/>
        <w:jc w:val="both"/>
        <w:rPr>
          <w:rFonts w:ascii="Arial" w:hAnsi="Arial" w:cs="Arial"/>
          <w:sz w:val="22"/>
          <w:szCs w:val="22"/>
        </w:rPr>
      </w:pPr>
      <w:r w:rsidRPr="00F125C5">
        <w:rPr>
          <w:rFonts w:ascii="Arial" w:hAnsi="Arial" w:cs="Arial"/>
          <w:sz w:val="22"/>
          <w:szCs w:val="22"/>
        </w:rPr>
        <w:t>N</w:t>
      </w:r>
      <w:r w:rsidR="00E908ED" w:rsidRPr="00F125C5">
        <w:rPr>
          <w:rFonts w:ascii="Arial" w:hAnsi="Arial" w:cs="Arial"/>
          <w:sz w:val="22"/>
          <w:szCs w:val="22"/>
        </w:rPr>
        <w:t>esta seção, identificamos</w:t>
      </w:r>
      <w:r w:rsidR="000C7B5A" w:rsidRPr="00F125C5">
        <w:rPr>
          <w:rFonts w:ascii="Arial" w:hAnsi="Arial" w:cs="Arial"/>
          <w:sz w:val="22"/>
          <w:szCs w:val="22"/>
        </w:rPr>
        <w:t xml:space="preserve"> as eficiências econômicas normalmente atribuídas à verticalização, bem como os riscos competitivos que também são a ela associados. A partir desta apresentação, sustentamos que os efeitos da verticalização são complexos e por vezes imprevisíveis, de modo que qualquer discussão neste sentido deve se basear em profundas análises de impacto regulatório. Ou seja, os estudos do CADE não se prestam a servir de referência para a mudança da regra. Então é necessário </w:t>
      </w:r>
      <w:r w:rsidR="000C7B5A" w:rsidRPr="00F125C5">
        <w:rPr>
          <w:rFonts w:ascii="Arial" w:hAnsi="Arial" w:cs="Arial"/>
          <w:sz w:val="22"/>
          <w:szCs w:val="22"/>
        </w:rPr>
        <w:lastRenderedPageBreak/>
        <w:t xml:space="preserve">fazer uma avaliação dos riscos e benefícios normalmente associados a esse movimento, para entender quais são os possíveis efeitos no mercado de combustíveis líquidos (ainda que isso dependa efetivamente de uma regra concreta, com análise de custo e benefício, para que essas ponderações fiquem mais confiáveis). </w:t>
      </w:r>
    </w:p>
    <w:p w14:paraId="61F74D7C" w14:textId="2D7C7F8D" w:rsidR="000C7B5A" w:rsidRPr="00F125C5" w:rsidRDefault="0015792F" w:rsidP="00F707F7">
      <w:pPr>
        <w:spacing w:after="0" w:line="360" w:lineRule="auto"/>
        <w:jc w:val="both"/>
        <w:rPr>
          <w:rFonts w:ascii="Arial" w:hAnsi="Arial" w:cs="Arial"/>
          <w:b/>
        </w:rPr>
      </w:pPr>
      <w:r w:rsidRPr="00F125C5">
        <w:rPr>
          <w:rFonts w:ascii="Arial" w:hAnsi="Arial" w:cs="Arial"/>
          <w:b/>
        </w:rPr>
        <w:t xml:space="preserve"> </w:t>
      </w:r>
      <w:r w:rsidR="000C7B5A" w:rsidRPr="00F125C5">
        <w:rPr>
          <w:rFonts w:ascii="Arial" w:hAnsi="Arial" w:cs="Arial"/>
          <w:b/>
        </w:rPr>
        <w:tab/>
      </w:r>
    </w:p>
    <w:p w14:paraId="76E863B8" w14:textId="678D9EFF" w:rsidR="0015792F" w:rsidRPr="00F125C5" w:rsidRDefault="00F707F7" w:rsidP="003E47DB">
      <w:pPr>
        <w:spacing w:after="0" w:line="360" w:lineRule="auto"/>
        <w:jc w:val="both"/>
        <w:rPr>
          <w:rFonts w:ascii="Arial" w:hAnsi="Arial" w:cs="Arial"/>
          <w:b/>
        </w:rPr>
      </w:pPr>
      <w:r w:rsidRPr="00F125C5">
        <w:rPr>
          <w:rFonts w:ascii="Arial" w:hAnsi="Arial" w:cs="Arial"/>
          <w:b/>
        </w:rPr>
        <w:t xml:space="preserve">3.1. </w:t>
      </w:r>
      <w:r w:rsidR="00866790" w:rsidRPr="00F125C5">
        <w:rPr>
          <w:rFonts w:ascii="Arial" w:hAnsi="Arial" w:cs="Arial"/>
          <w:b/>
        </w:rPr>
        <w:t>Conceito de verticalização</w:t>
      </w:r>
      <w:r w:rsidR="00C82735" w:rsidRPr="00F125C5">
        <w:rPr>
          <w:rFonts w:ascii="Arial" w:hAnsi="Arial" w:cs="Arial"/>
          <w:b/>
        </w:rPr>
        <w:t>, com considerações específicas relativas ao mercado de combustíveis líquidos</w:t>
      </w:r>
    </w:p>
    <w:p w14:paraId="5FD3A3CA" w14:textId="77777777" w:rsidR="00C962FD" w:rsidRDefault="00C962FD" w:rsidP="005573AA">
      <w:pPr>
        <w:spacing w:after="0" w:line="360" w:lineRule="auto"/>
        <w:ind w:firstLine="709"/>
        <w:jc w:val="both"/>
        <w:rPr>
          <w:rFonts w:ascii="Arial" w:hAnsi="Arial" w:cs="Arial"/>
        </w:rPr>
      </w:pPr>
    </w:p>
    <w:p w14:paraId="32C7CB06" w14:textId="4F733CF6" w:rsidR="007F2057" w:rsidRPr="00F125C5" w:rsidRDefault="00A97CA6" w:rsidP="005573AA">
      <w:pPr>
        <w:spacing w:after="0" w:line="360" w:lineRule="auto"/>
        <w:ind w:firstLine="709"/>
        <w:jc w:val="both"/>
        <w:rPr>
          <w:rFonts w:ascii="Arial" w:hAnsi="Arial" w:cs="Arial"/>
        </w:rPr>
      </w:pPr>
      <w:r w:rsidRPr="00F125C5">
        <w:rPr>
          <w:rFonts w:ascii="Arial" w:hAnsi="Arial" w:cs="Arial"/>
        </w:rPr>
        <w:t>O termo verticalização</w:t>
      </w:r>
      <w:r w:rsidR="00DE0FD5" w:rsidRPr="00F125C5">
        <w:rPr>
          <w:rFonts w:ascii="Arial" w:hAnsi="Arial" w:cs="Arial"/>
        </w:rPr>
        <w:t xml:space="preserve">, por vezes apontado como sinônimo de “integração vertical” ou </w:t>
      </w:r>
      <w:r w:rsidR="000F2AB2" w:rsidRPr="00F125C5">
        <w:rPr>
          <w:rFonts w:ascii="Arial" w:hAnsi="Arial" w:cs="Arial"/>
        </w:rPr>
        <w:t xml:space="preserve">simplesmente </w:t>
      </w:r>
      <w:r w:rsidR="00DE0FD5" w:rsidRPr="00F125C5">
        <w:rPr>
          <w:rFonts w:ascii="Arial" w:hAnsi="Arial" w:cs="Arial"/>
        </w:rPr>
        <w:t>“hierarquia”</w:t>
      </w:r>
      <w:r w:rsidR="000F2AB2" w:rsidRPr="00F125C5">
        <w:rPr>
          <w:rFonts w:ascii="Arial" w:hAnsi="Arial" w:cs="Arial"/>
        </w:rPr>
        <w:t>,</w:t>
      </w:r>
      <w:r w:rsidRPr="00F125C5">
        <w:rPr>
          <w:rFonts w:ascii="Arial" w:hAnsi="Arial" w:cs="Arial"/>
        </w:rPr>
        <w:t xml:space="preserve"> faz referência </w:t>
      </w:r>
      <w:r w:rsidR="00DE0FD5" w:rsidRPr="00F125C5">
        <w:rPr>
          <w:rFonts w:ascii="Arial" w:hAnsi="Arial" w:cs="Arial"/>
        </w:rPr>
        <w:t xml:space="preserve">a situações </w:t>
      </w:r>
      <w:r w:rsidR="00B566FC" w:rsidRPr="00F125C5">
        <w:rPr>
          <w:rFonts w:ascii="Arial" w:hAnsi="Arial" w:cs="Arial"/>
        </w:rPr>
        <w:t xml:space="preserve">em que uma única empresa possui controle total sobre a produção de dois elos complementares de uma </w:t>
      </w:r>
      <w:r w:rsidR="004B485E" w:rsidRPr="00F125C5">
        <w:rPr>
          <w:rFonts w:ascii="Arial" w:hAnsi="Arial" w:cs="Arial"/>
        </w:rPr>
        <w:t xml:space="preserve">mesma </w:t>
      </w:r>
      <w:r w:rsidR="00B566FC" w:rsidRPr="00F125C5">
        <w:rPr>
          <w:rFonts w:ascii="Arial" w:hAnsi="Arial" w:cs="Arial"/>
        </w:rPr>
        <w:t>cadeia de agregação de valor</w:t>
      </w:r>
      <w:r w:rsidR="004F4821" w:rsidRPr="00F125C5">
        <w:rPr>
          <w:rFonts w:ascii="Arial" w:hAnsi="Arial" w:cs="Arial"/>
        </w:rPr>
        <w:t xml:space="preserve">. </w:t>
      </w:r>
      <w:r w:rsidR="0057243C" w:rsidRPr="00F125C5">
        <w:rPr>
          <w:rFonts w:ascii="Arial" w:hAnsi="Arial" w:cs="Arial"/>
        </w:rPr>
        <w:t xml:space="preserve">Em outras palavras, é a </w:t>
      </w:r>
      <w:r w:rsidR="00D22A7D" w:rsidRPr="00F125C5">
        <w:rPr>
          <w:rFonts w:ascii="Arial" w:hAnsi="Arial" w:cs="Arial"/>
        </w:rPr>
        <w:t>reunião de atividades complementares sob o mesmo comando hierárquico.</w:t>
      </w:r>
      <w:r w:rsidR="00985017" w:rsidRPr="00F125C5">
        <w:rPr>
          <w:rStyle w:val="Refdenotaderodap"/>
          <w:rFonts w:ascii="Arial" w:hAnsi="Arial" w:cs="Arial"/>
        </w:rPr>
        <w:footnoteReference w:id="23"/>
      </w:r>
      <w:r w:rsidR="00D22A7D" w:rsidRPr="00F125C5">
        <w:rPr>
          <w:rFonts w:ascii="Arial" w:hAnsi="Arial" w:cs="Arial"/>
        </w:rPr>
        <w:t xml:space="preserve"> </w:t>
      </w:r>
      <w:r w:rsidR="00366ADD" w:rsidRPr="00F125C5">
        <w:rPr>
          <w:rFonts w:ascii="Arial" w:hAnsi="Arial" w:cs="Arial"/>
        </w:rPr>
        <w:t>A verticalização</w:t>
      </w:r>
      <w:r w:rsidR="00D414F4" w:rsidRPr="00F125C5">
        <w:rPr>
          <w:rFonts w:ascii="Arial" w:hAnsi="Arial" w:cs="Arial"/>
        </w:rPr>
        <w:t xml:space="preserve"> é uma espécie de </w:t>
      </w:r>
      <w:r w:rsidR="004C55D4" w:rsidRPr="00F125C5">
        <w:rPr>
          <w:rFonts w:ascii="Arial" w:hAnsi="Arial" w:cs="Arial"/>
        </w:rPr>
        <w:t>relação</w:t>
      </w:r>
      <w:r w:rsidR="00D414F4" w:rsidRPr="00F125C5">
        <w:rPr>
          <w:rFonts w:ascii="Arial" w:hAnsi="Arial" w:cs="Arial"/>
        </w:rPr>
        <w:t xml:space="preserve"> vertica</w:t>
      </w:r>
      <w:r w:rsidR="004B485E" w:rsidRPr="00F125C5">
        <w:rPr>
          <w:rFonts w:ascii="Arial" w:hAnsi="Arial" w:cs="Arial"/>
        </w:rPr>
        <w:t>l, mas não a única. Ao lado dela, enc</w:t>
      </w:r>
      <w:r w:rsidR="004C55D4" w:rsidRPr="00F125C5">
        <w:rPr>
          <w:rFonts w:ascii="Arial" w:hAnsi="Arial" w:cs="Arial"/>
        </w:rPr>
        <w:t>ontram-se outras, como as restrições verticais</w:t>
      </w:r>
      <w:r w:rsidR="00584DC5" w:rsidRPr="00F125C5">
        <w:rPr>
          <w:rFonts w:ascii="Arial" w:hAnsi="Arial" w:cs="Arial"/>
        </w:rPr>
        <w:t xml:space="preserve">, </w:t>
      </w:r>
      <w:r w:rsidR="000F2AB2" w:rsidRPr="00F125C5">
        <w:rPr>
          <w:rFonts w:ascii="Arial" w:hAnsi="Arial" w:cs="Arial"/>
        </w:rPr>
        <w:t>que englobam os</w:t>
      </w:r>
      <w:r w:rsidR="00584DC5" w:rsidRPr="00F125C5">
        <w:rPr>
          <w:rFonts w:ascii="Arial" w:hAnsi="Arial" w:cs="Arial"/>
        </w:rPr>
        <w:t xml:space="preserve"> contratos de exclusividade, a</w:t>
      </w:r>
      <w:r w:rsidR="000F2AB2" w:rsidRPr="00F125C5">
        <w:rPr>
          <w:rFonts w:ascii="Arial" w:hAnsi="Arial" w:cs="Arial"/>
        </w:rPr>
        <w:t>s</w:t>
      </w:r>
      <w:r w:rsidR="00584DC5" w:rsidRPr="00F125C5">
        <w:rPr>
          <w:rFonts w:ascii="Arial" w:hAnsi="Arial" w:cs="Arial"/>
        </w:rPr>
        <w:t xml:space="preserve"> franquias e outros </w:t>
      </w:r>
      <w:r w:rsidR="000F2AB2" w:rsidRPr="00F125C5">
        <w:rPr>
          <w:rFonts w:ascii="Arial" w:hAnsi="Arial" w:cs="Arial"/>
        </w:rPr>
        <w:t>contratos</w:t>
      </w:r>
      <w:r w:rsidR="00584DC5" w:rsidRPr="00F125C5">
        <w:rPr>
          <w:rFonts w:ascii="Arial" w:hAnsi="Arial" w:cs="Arial"/>
        </w:rPr>
        <w:t xml:space="preserve"> </w:t>
      </w:r>
      <w:r w:rsidR="0025764E" w:rsidRPr="00F125C5">
        <w:rPr>
          <w:rFonts w:ascii="Arial" w:hAnsi="Arial" w:cs="Arial"/>
        </w:rPr>
        <w:t xml:space="preserve">estabelecidos entre empresas que permanecem distintas, mas </w:t>
      </w:r>
      <w:r w:rsidR="00AE3E6C" w:rsidRPr="00F125C5">
        <w:rPr>
          <w:rFonts w:ascii="Arial" w:hAnsi="Arial" w:cs="Arial"/>
        </w:rPr>
        <w:t>entre as quais passa a existir alguma forma de controle.</w:t>
      </w:r>
      <w:r w:rsidR="00624681" w:rsidRPr="00F125C5">
        <w:rPr>
          <w:rStyle w:val="Refdenotaderodap"/>
          <w:rFonts w:ascii="Arial" w:hAnsi="Arial" w:cs="Arial"/>
        </w:rPr>
        <w:footnoteReference w:id="24"/>
      </w:r>
      <w:r w:rsidR="004B485E" w:rsidRPr="00F125C5">
        <w:rPr>
          <w:rFonts w:ascii="Arial" w:hAnsi="Arial" w:cs="Arial"/>
        </w:rPr>
        <w:t xml:space="preserve"> </w:t>
      </w:r>
    </w:p>
    <w:p w14:paraId="35B34209" w14:textId="049BC1A8" w:rsidR="007F2057" w:rsidRPr="00F125C5" w:rsidRDefault="00B7469D" w:rsidP="005573AA">
      <w:pPr>
        <w:spacing w:after="0" w:line="360" w:lineRule="auto"/>
        <w:ind w:firstLine="709"/>
        <w:jc w:val="both"/>
        <w:rPr>
          <w:rFonts w:ascii="Arial" w:hAnsi="Arial" w:cs="Arial"/>
        </w:rPr>
      </w:pPr>
      <w:r w:rsidRPr="00F125C5">
        <w:rPr>
          <w:rFonts w:ascii="Arial" w:hAnsi="Arial" w:cs="Arial"/>
        </w:rPr>
        <w:t>O</w:t>
      </w:r>
      <w:r w:rsidR="00CE6ACC" w:rsidRPr="00F125C5">
        <w:rPr>
          <w:rFonts w:ascii="Arial" w:hAnsi="Arial" w:cs="Arial"/>
        </w:rPr>
        <w:t xml:space="preserve">s motivos que levam uma empresa </w:t>
      </w:r>
      <w:r w:rsidR="00743EE1" w:rsidRPr="00F125C5">
        <w:rPr>
          <w:rFonts w:ascii="Arial" w:hAnsi="Arial" w:cs="Arial"/>
        </w:rPr>
        <w:t>a</w:t>
      </w:r>
      <w:r w:rsidR="00015350" w:rsidRPr="00F125C5">
        <w:rPr>
          <w:rFonts w:ascii="Arial" w:hAnsi="Arial" w:cs="Arial"/>
        </w:rPr>
        <w:t xml:space="preserve"> </w:t>
      </w:r>
      <w:r w:rsidR="00743EE1" w:rsidRPr="00F125C5">
        <w:rPr>
          <w:rFonts w:ascii="Arial" w:hAnsi="Arial" w:cs="Arial"/>
        </w:rPr>
        <w:t>decidir</w:t>
      </w:r>
      <w:r w:rsidR="00015350" w:rsidRPr="00F125C5">
        <w:rPr>
          <w:rFonts w:ascii="Arial" w:hAnsi="Arial" w:cs="Arial"/>
        </w:rPr>
        <w:t xml:space="preserve"> </w:t>
      </w:r>
      <w:r w:rsidR="00743EE1" w:rsidRPr="00F125C5">
        <w:rPr>
          <w:rFonts w:ascii="Arial" w:hAnsi="Arial" w:cs="Arial"/>
        </w:rPr>
        <w:t>integrar</w:t>
      </w:r>
      <w:r w:rsidR="00015350" w:rsidRPr="00F125C5">
        <w:rPr>
          <w:rFonts w:ascii="Arial" w:hAnsi="Arial" w:cs="Arial"/>
        </w:rPr>
        <w:t xml:space="preserve"> </w:t>
      </w:r>
      <w:r w:rsidR="00743EE1" w:rsidRPr="00F125C5">
        <w:rPr>
          <w:rFonts w:ascii="Arial" w:hAnsi="Arial" w:cs="Arial"/>
        </w:rPr>
        <w:t xml:space="preserve">uma atividade </w:t>
      </w:r>
      <w:r w:rsidR="00015350" w:rsidRPr="00F125C5">
        <w:rPr>
          <w:rFonts w:ascii="Arial" w:hAnsi="Arial" w:cs="Arial"/>
        </w:rPr>
        <w:t>vertical</w:t>
      </w:r>
      <w:r w:rsidR="00743EE1" w:rsidRPr="00F125C5">
        <w:rPr>
          <w:rFonts w:ascii="Arial" w:hAnsi="Arial" w:cs="Arial"/>
        </w:rPr>
        <w:t>mente</w:t>
      </w:r>
      <w:r w:rsidRPr="00F125C5">
        <w:rPr>
          <w:rFonts w:ascii="Arial" w:hAnsi="Arial" w:cs="Arial"/>
        </w:rPr>
        <w:t xml:space="preserve"> já foram estudados várias vezes</w:t>
      </w:r>
      <w:r w:rsidR="00CE6ACC" w:rsidRPr="00F125C5">
        <w:rPr>
          <w:rFonts w:ascii="Arial" w:hAnsi="Arial" w:cs="Arial"/>
        </w:rPr>
        <w:t xml:space="preserve">. </w:t>
      </w:r>
      <w:r w:rsidR="00D9175D" w:rsidRPr="00F125C5">
        <w:rPr>
          <w:rFonts w:ascii="Arial" w:hAnsi="Arial" w:cs="Arial"/>
        </w:rPr>
        <w:t xml:space="preserve">Adotando-se os pressupostos comportamentais </w:t>
      </w:r>
      <w:r w:rsidR="004362FF" w:rsidRPr="00F125C5">
        <w:rPr>
          <w:rFonts w:ascii="Arial" w:hAnsi="Arial" w:cs="Arial"/>
        </w:rPr>
        <w:t xml:space="preserve">desenvolvidos pela </w:t>
      </w:r>
      <w:r w:rsidR="007979F6" w:rsidRPr="00F125C5">
        <w:rPr>
          <w:rFonts w:ascii="Arial" w:hAnsi="Arial" w:cs="Arial"/>
        </w:rPr>
        <w:t>E</w:t>
      </w:r>
      <w:r w:rsidR="004362FF" w:rsidRPr="00F125C5">
        <w:rPr>
          <w:rFonts w:ascii="Arial" w:hAnsi="Arial" w:cs="Arial"/>
        </w:rPr>
        <w:t xml:space="preserve">conomia dos </w:t>
      </w:r>
      <w:r w:rsidR="007979F6" w:rsidRPr="00F125C5">
        <w:rPr>
          <w:rFonts w:ascii="Arial" w:hAnsi="Arial" w:cs="Arial"/>
        </w:rPr>
        <w:t>C</w:t>
      </w:r>
      <w:r w:rsidR="004362FF" w:rsidRPr="00F125C5">
        <w:rPr>
          <w:rFonts w:ascii="Arial" w:hAnsi="Arial" w:cs="Arial"/>
        </w:rPr>
        <w:t xml:space="preserve">ustos de </w:t>
      </w:r>
      <w:r w:rsidR="007979F6" w:rsidRPr="00F125C5">
        <w:rPr>
          <w:rFonts w:ascii="Arial" w:hAnsi="Arial" w:cs="Arial"/>
        </w:rPr>
        <w:t>T</w:t>
      </w:r>
      <w:r w:rsidR="004362FF" w:rsidRPr="00F125C5">
        <w:rPr>
          <w:rFonts w:ascii="Arial" w:hAnsi="Arial" w:cs="Arial"/>
        </w:rPr>
        <w:t xml:space="preserve">ransação </w:t>
      </w:r>
      <w:r w:rsidR="007979F6" w:rsidRPr="00F125C5">
        <w:rPr>
          <w:rFonts w:ascii="Arial" w:hAnsi="Arial" w:cs="Arial"/>
        </w:rPr>
        <w:t>(ECT) – o</w:t>
      </w:r>
      <w:r w:rsidRPr="00F125C5">
        <w:rPr>
          <w:rFonts w:ascii="Arial" w:hAnsi="Arial" w:cs="Arial"/>
        </w:rPr>
        <w:t>s pressupostos do</w:t>
      </w:r>
      <w:r w:rsidR="007979F6" w:rsidRPr="00F125C5">
        <w:rPr>
          <w:rFonts w:ascii="Arial" w:hAnsi="Arial" w:cs="Arial"/>
        </w:rPr>
        <w:t xml:space="preserve"> </w:t>
      </w:r>
      <w:r w:rsidR="00D9175D" w:rsidRPr="00F125C5">
        <w:rPr>
          <w:rFonts w:ascii="Arial" w:hAnsi="Arial" w:cs="Arial"/>
        </w:rPr>
        <w:t>oportunismo e</w:t>
      </w:r>
      <w:r w:rsidR="007979F6" w:rsidRPr="00F125C5">
        <w:rPr>
          <w:rFonts w:ascii="Arial" w:hAnsi="Arial" w:cs="Arial"/>
        </w:rPr>
        <w:t xml:space="preserve"> </w:t>
      </w:r>
      <w:r w:rsidRPr="00F125C5">
        <w:rPr>
          <w:rFonts w:ascii="Arial" w:hAnsi="Arial" w:cs="Arial"/>
        </w:rPr>
        <w:t>d</w:t>
      </w:r>
      <w:r w:rsidR="007979F6" w:rsidRPr="00F125C5">
        <w:rPr>
          <w:rFonts w:ascii="Arial" w:hAnsi="Arial" w:cs="Arial"/>
        </w:rPr>
        <w:t>a</w:t>
      </w:r>
      <w:r w:rsidR="00D9175D" w:rsidRPr="00F125C5">
        <w:rPr>
          <w:rFonts w:ascii="Arial" w:hAnsi="Arial" w:cs="Arial"/>
        </w:rPr>
        <w:t xml:space="preserve"> racionalidade limitada</w:t>
      </w:r>
      <w:r w:rsidR="00453841" w:rsidRPr="00F125C5">
        <w:rPr>
          <w:rFonts w:ascii="Arial" w:hAnsi="Arial" w:cs="Arial"/>
        </w:rPr>
        <w:t xml:space="preserve"> dos agentes </w:t>
      </w:r>
      <w:r w:rsidR="00143853" w:rsidRPr="00F125C5">
        <w:rPr>
          <w:rFonts w:ascii="Arial" w:hAnsi="Arial" w:cs="Arial"/>
        </w:rPr>
        <w:t>– e</w:t>
      </w:r>
      <w:r w:rsidR="00D9175D" w:rsidRPr="00F125C5">
        <w:rPr>
          <w:rFonts w:ascii="Arial" w:hAnsi="Arial" w:cs="Arial"/>
        </w:rPr>
        <w:t xml:space="preserve"> as dimensões das transações </w:t>
      </w:r>
      <w:r w:rsidRPr="00F125C5">
        <w:rPr>
          <w:rFonts w:ascii="Arial" w:hAnsi="Arial" w:cs="Arial"/>
        </w:rPr>
        <w:t>–</w:t>
      </w:r>
      <w:r w:rsidR="007979F6" w:rsidRPr="00F125C5">
        <w:rPr>
          <w:rFonts w:ascii="Arial" w:hAnsi="Arial" w:cs="Arial"/>
        </w:rPr>
        <w:t xml:space="preserve"> </w:t>
      </w:r>
      <w:r w:rsidR="00D9175D" w:rsidRPr="00F125C5">
        <w:rPr>
          <w:rFonts w:ascii="Arial" w:hAnsi="Arial" w:cs="Arial"/>
        </w:rPr>
        <w:t xml:space="preserve">especificidade de ativos, </w:t>
      </w:r>
      <w:r w:rsidR="004B7278" w:rsidRPr="00F125C5">
        <w:rPr>
          <w:rFonts w:ascii="Arial" w:hAnsi="Arial" w:cs="Arial"/>
        </w:rPr>
        <w:t>frequência e incerteza</w:t>
      </w:r>
      <w:r w:rsidRPr="00F125C5">
        <w:rPr>
          <w:rFonts w:ascii="Arial" w:hAnsi="Arial" w:cs="Arial"/>
        </w:rPr>
        <w:t xml:space="preserve"> – </w:t>
      </w:r>
      <w:r w:rsidR="00CA5848" w:rsidRPr="00F125C5">
        <w:rPr>
          <w:rFonts w:ascii="Arial" w:hAnsi="Arial" w:cs="Arial"/>
        </w:rPr>
        <w:t xml:space="preserve">conclui-se que </w:t>
      </w:r>
      <w:r w:rsidR="00D56D19" w:rsidRPr="00F125C5">
        <w:rPr>
          <w:rFonts w:ascii="Arial" w:hAnsi="Arial" w:cs="Arial"/>
        </w:rPr>
        <w:t>certos arranjos institucionais conseguem governar melhor algumas transações comerciais do que outras.</w:t>
      </w:r>
      <w:r w:rsidR="0078254E" w:rsidRPr="00F125C5">
        <w:rPr>
          <w:rFonts w:ascii="Arial" w:hAnsi="Arial" w:cs="Arial"/>
        </w:rPr>
        <w:t xml:space="preserve"> A verticalização</w:t>
      </w:r>
      <w:r w:rsidR="003B7993" w:rsidRPr="00F125C5">
        <w:rPr>
          <w:rFonts w:ascii="Arial" w:hAnsi="Arial" w:cs="Arial"/>
        </w:rPr>
        <w:t xml:space="preserve"> é, nesse contexto, um desses arranjos</w:t>
      </w:r>
      <w:r w:rsidRPr="00F125C5">
        <w:rPr>
          <w:rFonts w:ascii="Arial" w:hAnsi="Arial" w:cs="Arial"/>
        </w:rPr>
        <w:t xml:space="preserve"> institucionais possíveis, que deve ser analisada a luz desses pressupostos e dessas dimensões das transações</w:t>
      </w:r>
      <w:r w:rsidR="003B7993" w:rsidRPr="00F125C5">
        <w:rPr>
          <w:rFonts w:ascii="Arial" w:hAnsi="Arial" w:cs="Arial"/>
        </w:rPr>
        <w:t xml:space="preserve">. </w:t>
      </w:r>
    </w:p>
    <w:p w14:paraId="48B1EEF3" w14:textId="303D50C3" w:rsidR="007F2057" w:rsidRPr="00F125C5" w:rsidRDefault="00E20704" w:rsidP="005573AA">
      <w:pPr>
        <w:spacing w:after="0" w:line="360" w:lineRule="auto"/>
        <w:ind w:firstLine="709"/>
        <w:jc w:val="both"/>
        <w:rPr>
          <w:rFonts w:ascii="Arial" w:hAnsi="Arial" w:cs="Arial"/>
        </w:rPr>
      </w:pPr>
      <w:r w:rsidRPr="00F125C5">
        <w:rPr>
          <w:rFonts w:ascii="Arial" w:hAnsi="Arial" w:cs="Arial"/>
        </w:rPr>
        <w:lastRenderedPageBreak/>
        <w:t xml:space="preserve">Para </w:t>
      </w:r>
      <w:r w:rsidR="00B7469D" w:rsidRPr="00F125C5">
        <w:rPr>
          <w:rFonts w:ascii="Arial" w:hAnsi="Arial" w:cs="Arial"/>
        </w:rPr>
        <w:t xml:space="preserve">Williamson </w:t>
      </w:r>
      <w:r w:rsidR="00934C50" w:rsidRPr="00F125C5">
        <w:rPr>
          <w:rFonts w:ascii="Arial" w:hAnsi="Arial" w:cs="Arial"/>
        </w:rPr>
        <w:t>(1979, 1991)</w:t>
      </w:r>
      <w:r w:rsidRPr="00F125C5">
        <w:rPr>
          <w:rFonts w:ascii="Arial" w:hAnsi="Arial" w:cs="Arial"/>
        </w:rPr>
        <w:t xml:space="preserve">, o principal fator que leva uma empresa a decidir por se verticalizar, ou seja, a se envolver em mais de um estágio de uma cadeia produtiva ao invés do recurso à terceirização, é a especificidade dos ativos envolvidos. Ativos são considerados específicos quando não podem ser utilizados de forma alternativa sem que haja uma perda considerável de seu valor. Assim, se certa transação </w:t>
      </w:r>
      <w:r w:rsidR="00B7469D" w:rsidRPr="00F125C5">
        <w:rPr>
          <w:rFonts w:ascii="Arial" w:hAnsi="Arial" w:cs="Arial"/>
        </w:rPr>
        <w:t>exige</w:t>
      </w:r>
      <w:r w:rsidRPr="00F125C5">
        <w:rPr>
          <w:rFonts w:ascii="Arial" w:hAnsi="Arial" w:cs="Arial"/>
        </w:rPr>
        <w:t xml:space="preserve"> investimentos específicos, a parte que custeou tais investimentos fica especialmente sujeita a algum tipo de ação oportunista da outra parte, de modo que a integração vertical se revela como uma das formas de diminuir os riscos envolvidos com as transações.</w:t>
      </w:r>
    </w:p>
    <w:p w14:paraId="4EA120C2" w14:textId="713C127F" w:rsidR="007F2057" w:rsidRPr="00F125C5" w:rsidRDefault="00E20704" w:rsidP="005573AA">
      <w:pPr>
        <w:spacing w:after="0" w:line="360" w:lineRule="auto"/>
        <w:ind w:firstLine="709"/>
        <w:jc w:val="both"/>
        <w:rPr>
          <w:rFonts w:ascii="Arial" w:hAnsi="Arial" w:cs="Arial"/>
        </w:rPr>
      </w:pPr>
      <w:r w:rsidRPr="00F125C5">
        <w:rPr>
          <w:rFonts w:ascii="Arial" w:hAnsi="Arial" w:cs="Arial"/>
        </w:rPr>
        <w:t>Com isso, a integração vertical reduz a</w:t>
      </w:r>
      <w:r w:rsidR="00D01611" w:rsidRPr="00F125C5">
        <w:rPr>
          <w:rFonts w:ascii="Arial" w:hAnsi="Arial" w:cs="Arial"/>
        </w:rPr>
        <w:t xml:space="preserve">s incertezas </w:t>
      </w:r>
      <w:r w:rsidR="00A33773" w:rsidRPr="00F125C5">
        <w:rPr>
          <w:rFonts w:ascii="Arial" w:hAnsi="Arial" w:cs="Arial"/>
        </w:rPr>
        <w:t>de uma</w:t>
      </w:r>
      <w:r w:rsidR="00F81E17" w:rsidRPr="00F125C5">
        <w:rPr>
          <w:rFonts w:ascii="Arial" w:hAnsi="Arial" w:cs="Arial"/>
        </w:rPr>
        <w:t xml:space="preserve"> relação comercia</w:t>
      </w:r>
      <w:r w:rsidR="000575FE" w:rsidRPr="00F125C5">
        <w:rPr>
          <w:rFonts w:ascii="Arial" w:hAnsi="Arial" w:cs="Arial"/>
        </w:rPr>
        <w:t>l</w:t>
      </w:r>
      <w:r w:rsidR="00F81E17" w:rsidRPr="00F125C5">
        <w:rPr>
          <w:rFonts w:ascii="Arial" w:hAnsi="Arial" w:cs="Arial"/>
        </w:rPr>
        <w:t xml:space="preserve">, </w:t>
      </w:r>
      <w:r w:rsidR="00A33773" w:rsidRPr="00F125C5">
        <w:rPr>
          <w:rFonts w:ascii="Arial" w:hAnsi="Arial" w:cs="Arial"/>
        </w:rPr>
        <w:t xml:space="preserve">diminuindo </w:t>
      </w:r>
      <w:r w:rsidR="00CF500B" w:rsidRPr="00F125C5">
        <w:rPr>
          <w:rFonts w:ascii="Arial" w:hAnsi="Arial" w:cs="Arial"/>
        </w:rPr>
        <w:t>os</w:t>
      </w:r>
      <w:r w:rsidR="0073675C" w:rsidRPr="00F125C5">
        <w:rPr>
          <w:rFonts w:ascii="Arial" w:hAnsi="Arial" w:cs="Arial"/>
        </w:rPr>
        <w:t xml:space="preserve"> custos de transação</w:t>
      </w:r>
      <w:r w:rsidR="00D01611" w:rsidRPr="00F125C5">
        <w:rPr>
          <w:rFonts w:ascii="Arial" w:hAnsi="Arial" w:cs="Arial"/>
        </w:rPr>
        <w:t>.</w:t>
      </w:r>
      <w:r w:rsidR="002F70C9" w:rsidRPr="00F125C5">
        <w:rPr>
          <w:rFonts w:ascii="Arial" w:hAnsi="Arial" w:cs="Arial"/>
        </w:rPr>
        <w:t xml:space="preserve"> </w:t>
      </w:r>
      <w:r w:rsidR="00A33773" w:rsidRPr="00F125C5">
        <w:rPr>
          <w:rFonts w:ascii="Arial" w:hAnsi="Arial" w:cs="Arial"/>
        </w:rPr>
        <w:t xml:space="preserve">Como </w:t>
      </w:r>
      <w:r w:rsidR="00D00FCF" w:rsidRPr="00F125C5">
        <w:rPr>
          <w:rFonts w:ascii="Arial" w:hAnsi="Arial" w:cs="Arial"/>
        </w:rPr>
        <w:t>mencionado</w:t>
      </w:r>
      <w:r w:rsidR="00A33773" w:rsidRPr="00F125C5">
        <w:rPr>
          <w:rFonts w:ascii="Arial" w:hAnsi="Arial" w:cs="Arial"/>
        </w:rPr>
        <w:t>, a</w:t>
      </w:r>
      <w:r w:rsidR="007D7AAA" w:rsidRPr="00F125C5">
        <w:rPr>
          <w:rFonts w:ascii="Arial" w:hAnsi="Arial" w:cs="Arial"/>
        </w:rPr>
        <w:t xml:space="preserve"> opção de uma empresa </w:t>
      </w:r>
      <w:r w:rsidR="00CF500B" w:rsidRPr="00F125C5">
        <w:rPr>
          <w:rFonts w:ascii="Arial" w:hAnsi="Arial" w:cs="Arial"/>
        </w:rPr>
        <w:t>em</w:t>
      </w:r>
      <w:r w:rsidR="00CB5A66" w:rsidRPr="00F125C5">
        <w:rPr>
          <w:rFonts w:ascii="Arial" w:hAnsi="Arial" w:cs="Arial"/>
        </w:rPr>
        <w:t xml:space="preserve"> desenvolver, ela própria, uma atividade inserida num elo de uma cadeia de </w:t>
      </w:r>
      <w:r w:rsidR="006E6A17" w:rsidRPr="00F125C5">
        <w:rPr>
          <w:rFonts w:ascii="Arial" w:hAnsi="Arial" w:cs="Arial"/>
        </w:rPr>
        <w:t>valor</w:t>
      </w:r>
      <w:r w:rsidR="000B3030" w:rsidRPr="00F125C5">
        <w:rPr>
          <w:rFonts w:ascii="Arial" w:hAnsi="Arial" w:cs="Arial"/>
        </w:rPr>
        <w:t xml:space="preserve"> </w:t>
      </w:r>
      <w:r w:rsidR="00097260" w:rsidRPr="00F125C5">
        <w:rPr>
          <w:rFonts w:ascii="Arial" w:hAnsi="Arial" w:cs="Arial"/>
        </w:rPr>
        <w:t>decorre</w:t>
      </w:r>
      <w:r w:rsidR="00784725" w:rsidRPr="00F125C5">
        <w:rPr>
          <w:rFonts w:ascii="Arial" w:hAnsi="Arial" w:cs="Arial"/>
        </w:rPr>
        <w:t xml:space="preserve"> principalmente</w:t>
      </w:r>
      <w:r w:rsidR="000B3030" w:rsidRPr="00F125C5">
        <w:rPr>
          <w:rFonts w:ascii="Arial" w:hAnsi="Arial" w:cs="Arial"/>
        </w:rPr>
        <w:t xml:space="preserve"> </w:t>
      </w:r>
      <w:r w:rsidR="00097260" w:rsidRPr="00F125C5">
        <w:rPr>
          <w:rFonts w:ascii="Arial" w:hAnsi="Arial" w:cs="Arial"/>
        </w:rPr>
        <w:t>do objetivo de diminuir os riscos</w:t>
      </w:r>
      <w:r w:rsidR="00EE39B1" w:rsidRPr="00F125C5">
        <w:rPr>
          <w:rFonts w:ascii="Arial" w:hAnsi="Arial" w:cs="Arial"/>
        </w:rPr>
        <w:t xml:space="preserve"> </w:t>
      </w:r>
      <w:r w:rsidR="007C0CBE" w:rsidRPr="00F125C5">
        <w:rPr>
          <w:rFonts w:ascii="Arial" w:hAnsi="Arial" w:cs="Arial"/>
        </w:rPr>
        <w:t>derivados dos pressupostos da racionalidade limitada e do oportunismo intrínseco aos indivíduo</w:t>
      </w:r>
      <w:r w:rsidR="00B328AA" w:rsidRPr="00F125C5">
        <w:rPr>
          <w:rFonts w:ascii="Arial" w:hAnsi="Arial" w:cs="Arial"/>
        </w:rPr>
        <w:t xml:space="preserve">s. </w:t>
      </w:r>
    </w:p>
    <w:p w14:paraId="7434F561" w14:textId="05A02A13" w:rsidR="00B7432F" w:rsidRPr="00F125C5" w:rsidRDefault="00B12155" w:rsidP="007F2057">
      <w:pPr>
        <w:spacing w:after="0" w:line="360" w:lineRule="auto"/>
        <w:ind w:firstLine="709"/>
        <w:jc w:val="both"/>
        <w:rPr>
          <w:rFonts w:ascii="Arial" w:hAnsi="Arial" w:cs="Arial"/>
        </w:rPr>
      </w:pPr>
      <w:r w:rsidRPr="00F125C5">
        <w:rPr>
          <w:rFonts w:ascii="Arial" w:hAnsi="Arial" w:cs="Arial"/>
        </w:rPr>
        <w:t>Tendo em vista os elos verticalmente integrados, é possível diferenciar alguns</w:t>
      </w:r>
      <w:r w:rsidR="00E3608E" w:rsidRPr="00F125C5">
        <w:rPr>
          <w:rFonts w:ascii="Arial" w:hAnsi="Arial" w:cs="Arial"/>
        </w:rPr>
        <w:t xml:space="preserve"> tipos de verticalização, notadamente, as (i) integrações verticais para </w:t>
      </w:r>
      <w:r w:rsidR="000E6287" w:rsidRPr="00F125C5">
        <w:rPr>
          <w:rFonts w:ascii="Arial" w:hAnsi="Arial" w:cs="Arial"/>
        </w:rPr>
        <w:t>frente; as (</w:t>
      </w:r>
      <w:proofErr w:type="spellStart"/>
      <w:r w:rsidR="000E6287" w:rsidRPr="00F125C5">
        <w:rPr>
          <w:rFonts w:ascii="Arial" w:hAnsi="Arial" w:cs="Arial"/>
        </w:rPr>
        <w:t>ii</w:t>
      </w:r>
      <w:proofErr w:type="spellEnd"/>
      <w:r w:rsidR="000E6287" w:rsidRPr="00F125C5">
        <w:rPr>
          <w:rFonts w:ascii="Arial" w:hAnsi="Arial" w:cs="Arial"/>
        </w:rPr>
        <w:t>)</w:t>
      </w:r>
      <w:r w:rsidR="00B7469D" w:rsidRPr="00F125C5">
        <w:rPr>
          <w:rFonts w:ascii="Arial" w:hAnsi="Arial" w:cs="Arial"/>
        </w:rPr>
        <w:t> </w:t>
      </w:r>
      <w:r w:rsidR="000E6287" w:rsidRPr="00F125C5">
        <w:rPr>
          <w:rFonts w:ascii="Arial" w:hAnsi="Arial" w:cs="Arial"/>
        </w:rPr>
        <w:t>integrações verticais para trás; e a (</w:t>
      </w:r>
      <w:proofErr w:type="spellStart"/>
      <w:r w:rsidR="000E6287" w:rsidRPr="00F125C5">
        <w:rPr>
          <w:rFonts w:ascii="Arial" w:hAnsi="Arial" w:cs="Arial"/>
        </w:rPr>
        <w:t>iii</w:t>
      </w:r>
      <w:proofErr w:type="spellEnd"/>
      <w:r w:rsidR="000E6287" w:rsidRPr="00F125C5">
        <w:rPr>
          <w:rFonts w:ascii="Arial" w:hAnsi="Arial" w:cs="Arial"/>
        </w:rPr>
        <w:t xml:space="preserve">) integração vertical </w:t>
      </w:r>
      <w:r w:rsidR="0095689D" w:rsidRPr="00F125C5">
        <w:rPr>
          <w:rFonts w:ascii="Arial" w:hAnsi="Arial" w:cs="Arial"/>
        </w:rPr>
        <w:t>lateral</w:t>
      </w:r>
      <w:r w:rsidR="002535AD" w:rsidRPr="00F125C5">
        <w:rPr>
          <w:rFonts w:ascii="Arial" w:hAnsi="Arial" w:cs="Arial"/>
        </w:rPr>
        <w:t xml:space="preserve"> (Williamson, </w:t>
      </w:r>
      <w:r w:rsidR="007C4741" w:rsidRPr="00F125C5">
        <w:rPr>
          <w:rFonts w:ascii="Arial" w:hAnsi="Arial" w:cs="Arial"/>
        </w:rPr>
        <w:t>1985)</w:t>
      </w:r>
      <w:r w:rsidR="000E6287" w:rsidRPr="00F125C5">
        <w:rPr>
          <w:rFonts w:ascii="Arial" w:hAnsi="Arial" w:cs="Arial"/>
        </w:rPr>
        <w:t xml:space="preserve">. A primeira hipótese </w:t>
      </w:r>
      <w:r w:rsidR="00DE31BE" w:rsidRPr="00F125C5">
        <w:rPr>
          <w:rFonts w:ascii="Arial" w:hAnsi="Arial" w:cs="Arial"/>
        </w:rPr>
        <w:t>(integração vertical para frente</w:t>
      </w:r>
      <w:r w:rsidR="00A27012" w:rsidRPr="00F125C5">
        <w:rPr>
          <w:rFonts w:ascii="Arial" w:hAnsi="Arial" w:cs="Arial"/>
        </w:rPr>
        <w:t>, ou a jusante</w:t>
      </w:r>
      <w:r w:rsidR="00DE31BE" w:rsidRPr="00F125C5">
        <w:rPr>
          <w:rFonts w:ascii="Arial" w:hAnsi="Arial" w:cs="Arial"/>
        </w:rPr>
        <w:t xml:space="preserve">) </w:t>
      </w:r>
      <w:r w:rsidR="000E6287" w:rsidRPr="00F125C5">
        <w:rPr>
          <w:rFonts w:ascii="Arial" w:hAnsi="Arial" w:cs="Arial"/>
        </w:rPr>
        <w:t xml:space="preserve">faz referência </w:t>
      </w:r>
      <w:r w:rsidR="00CB1C06" w:rsidRPr="00F125C5">
        <w:rPr>
          <w:rFonts w:ascii="Arial" w:hAnsi="Arial" w:cs="Arial"/>
        </w:rPr>
        <w:t>a</w:t>
      </w:r>
      <w:r w:rsidR="00A77601" w:rsidRPr="00F125C5">
        <w:rPr>
          <w:rFonts w:ascii="Arial" w:hAnsi="Arial" w:cs="Arial"/>
        </w:rPr>
        <w:t xml:space="preserve"> situações em que uma empresa </w:t>
      </w:r>
      <w:r w:rsidR="008A220A" w:rsidRPr="00F125C5">
        <w:rPr>
          <w:rFonts w:ascii="Arial" w:hAnsi="Arial" w:cs="Arial"/>
        </w:rPr>
        <w:t xml:space="preserve">passa a produzir </w:t>
      </w:r>
      <w:r w:rsidR="00696EC5" w:rsidRPr="00F125C5">
        <w:rPr>
          <w:rFonts w:ascii="Arial" w:hAnsi="Arial" w:cs="Arial"/>
        </w:rPr>
        <w:t>produtos ou fornecer serviços</w:t>
      </w:r>
      <w:r w:rsidR="008A220A" w:rsidRPr="00F125C5">
        <w:rPr>
          <w:rFonts w:ascii="Arial" w:hAnsi="Arial" w:cs="Arial"/>
        </w:rPr>
        <w:t xml:space="preserve"> que antes er</w:t>
      </w:r>
      <w:r w:rsidR="00696EC5" w:rsidRPr="00F125C5">
        <w:rPr>
          <w:rFonts w:ascii="Arial" w:hAnsi="Arial" w:cs="Arial"/>
        </w:rPr>
        <w:t xml:space="preserve">am comercializados </w:t>
      </w:r>
      <w:r w:rsidR="00DE31BE" w:rsidRPr="00F125C5">
        <w:rPr>
          <w:rFonts w:ascii="Arial" w:hAnsi="Arial" w:cs="Arial"/>
        </w:rPr>
        <w:t>pelos seus clientes. Já na segunda hipótese (integração vertical para trás</w:t>
      </w:r>
      <w:r w:rsidR="00A27012" w:rsidRPr="00F125C5">
        <w:rPr>
          <w:rFonts w:ascii="Arial" w:hAnsi="Arial" w:cs="Arial"/>
        </w:rPr>
        <w:t>, ou a montante</w:t>
      </w:r>
      <w:r w:rsidR="00DE31BE" w:rsidRPr="00F125C5">
        <w:rPr>
          <w:rFonts w:ascii="Arial" w:hAnsi="Arial" w:cs="Arial"/>
        </w:rPr>
        <w:t xml:space="preserve">), a empresa começa a produzir um produto ou fornecer um serviço que, anteriormente, adquiria </w:t>
      </w:r>
      <w:r w:rsidR="00691536" w:rsidRPr="00F125C5">
        <w:rPr>
          <w:rFonts w:ascii="Arial" w:hAnsi="Arial" w:cs="Arial"/>
        </w:rPr>
        <w:t>junto a</w:t>
      </w:r>
      <w:r w:rsidR="00DE31BE" w:rsidRPr="00F125C5">
        <w:rPr>
          <w:rFonts w:ascii="Arial" w:hAnsi="Arial" w:cs="Arial"/>
        </w:rPr>
        <w:t xml:space="preserve"> um fornecedor. </w:t>
      </w:r>
      <w:r w:rsidR="009B369B" w:rsidRPr="00F125C5">
        <w:rPr>
          <w:rFonts w:ascii="Arial" w:hAnsi="Arial" w:cs="Arial"/>
        </w:rPr>
        <w:t xml:space="preserve">Por fim, na hipótese da integração lateral, que não é de muita aplicabilidade para a </w:t>
      </w:r>
      <w:r w:rsidR="00691536" w:rsidRPr="00F125C5">
        <w:rPr>
          <w:rFonts w:ascii="Arial" w:hAnsi="Arial" w:cs="Arial"/>
        </w:rPr>
        <w:t>o mercado de combustíveis líquidos</w:t>
      </w:r>
      <w:r w:rsidR="009B369B" w:rsidRPr="00F125C5">
        <w:rPr>
          <w:rFonts w:ascii="Arial" w:hAnsi="Arial" w:cs="Arial"/>
        </w:rPr>
        <w:t xml:space="preserve">, </w:t>
      </w:r>
      <w:r w:rsidR="00664D7A" w:rsidRPr="00F125C5">
        <w:rPr>
          <w:rFonts w:ascii="Arial" w:hAnsi="Arial" w:cs="Arial"/>
        </w:rPr>
        <w:t>uma mesma empresa passa a produzir insumos que estão “em paralelo” na cadeia de produção.</w:t>
      </w:r>
      <w:r w:rsidR="00664D7A" w:rsidRPr="00F125C5">
        <w:rPr>
          <w:rStyle w:val="Refdenotaderodap"/>
          <w:rFonts w:ascii="Arial" w:hAnsi="Arial" w:cs="Arial"/>
        </w:rPr>
        <w:footnoteReference w:id="25"/>
      </w:r>
      <w:r w:rsidR="002E744C" w:rsidRPr="00F125C5">
        <w:rPr>
          <w:rFonts w:ascii="Arial" w:hAnsi="Arial" w:cs="Arial"/>
        </w:rPr>
        <w:t xml:space="preserve"> </w:t>
      </w:r>
    </w:p>
    <w:p w14:paraId="4646B106" w14:textId="71D19AC5" w:rsidR="007F2057" w:rsidRPr="00F125C5" w:rsidRDefault="00B7432F" w:rsidP="005573AA">
      <w:pPr>
        <w:spacing w:after="0" w:line="360" w:lineRule="auto"/>
        <w:ind w:firstLine="709"/>
        <w:jc w:val="both"/>
        <w:rPr>
          <w:rFonts w:ascii="Arial" w:hAnsi="Arial" w:cs="Arial"/>
        </w:rPr>
      </w:pPr>
      <w:r w:rsidRPr="00F125C5">
        <w:rPr>
          <w:rFonts w:ascii="Arial" w:hAnsi="Arial" w:cs="Arial"/>
        </w:rPr>
        <w:t>A cadeia de valor de combustíveis apresenta diferentes elos, que englobam a (i) prospecção e extração; (</w:t>
      </w:r>
      <w:proofErr w:type="spellStart"/>
      <w:r w:rsidRPr="00F125C5">
        <w:rPr>
          <w:rFonts w:ascii="Arial" w:hAnsi="Arial" w:cs="Arial"/>
        </w:rPr>
        <w:t>ii</w:t>
      </w:r>
      <w:proofErr w:type="spellEnd"/>
      <w:r w:rsidRPr="00F125C5">
        <w:rPr>
          <w:rFonts w:ascii="Arial" w:hAnsi="Arial" w:cs="Arial"/>
        </w:rPr>
        <w:t>) o refino e a importação; (</w:t>
      </w:r>
      <w:proofErr w:type="spellStart"/>
      <w:r w:rsidRPr="00F125C5">
        <w:rPr>
          <w:rFonts w:ascii="Arial" w:hAnsi="Arial" w:cs="Arial"/>
        </w:rPr>
        <w:t>iii</w:t>
      </w:r>
      <w:proofErr w:type="spellEnd"/>
      <w:r w:rsidRPr="00F125C5">
        <w:rPr>
          <w:rFonts w:ascii="Arial" w:hAnsi="Arial" w:cs="Arial"/>
        </w:rPr>
        <w:t>) a distribuição e a (</w:t>
      </w:r>
      <w:proofErr w:type="spellStart"/>
      <w:r w:rsidRPr="00F125C5">
        <w:rPr>
          <w:rFonts w:ascii="Arial" w:hAnsi="Arial" w:cs="Arial"/>
        </w:rPr>
        <w:t>iv</w:t>
      </w:r>
      <w:proofErr w:type="spellEnd"/>
      <w:r w:rsidRPr="00F125C5">
        <w:rPr>
          <w:rFonts w:ascii="Arial" w:hAnsi="Arial" w:cs="Arial"/>
        </w:rPr>
        <w:t>) revenda.</w:t>
      </w:r>
      <w:r w:rsidRPr="00F125C5">
        <w:rPr>
          <w:rStyle w:val="Refdenotaderodap"/>
          <w:rFonts w:ascii="Arial" w:hAnsi="Arial" w:cs="Arial"/>
        </w:rPr>
        <w:footnoteReference w:id="26"/>
      </w:r>
      <w:r w:rsidRPr="00F125C5">
        <w:rPr>
          <w:rFonts w:ascii="Arial" w:hAnsi="Arial" w:cs="Arial"/>
        </w:rPr>
        <w:t xml:space="preserve"> É possível cogitar diversas possibilidades de integrações verticais entre os atores atuando nesses elos da cadeia de valor dos combustíveis (p.e., entre produtor e distribuidor; entre produtor e revendedor; entre distribuidor e revenda, etc.)</w:t>
      </w:r>
      <w:r w:rsidR="00677E96" w:rsidRPr="00F125C5">
        <w:rPr>
          <w:rFonts w:ascii="Arial" w:hAnsi="Arial" w:cs="Arial"/>
        </w:rPr>
        <w:t xml:space="preserve">. Cada uma destas relações, por conta da natureza dos elos que envolvem, além </w:t>
      </w:r>
      <w:r w:rsidR="005B509E" w:rsidRPr="00F125C5">
        <w:rPr>
          <w:rFonts w:ascii="Arial" w:hAnsi="Arial" w:cs="Arial"/>
        </w:rPr>
        <w:t xml:space="preserve">de seus graus </w:t>
      </w:r>
      <w:r w:rsidR="008603CD" w:rsidRPr="00F125C5">
        <w:rPr>
          <w:rFonts w:ascii="Arial" w:hAnsi="Arial" w:cs="Arial"/>
        </w:rPr>
        <w:lastRenderedPageBreak/>
        <w:t xml:space="preserve">diferentes </w:t>
      </w:r>
      <w:r w:rsidR="005B509E" w:rsidRPr="00F125C5">
        <w:rPr>
          <w:rFonts w:ascii="Arial" w:hAnsi="Arial" w:cs="Arial"/>
        </w:rPr>
        <w:t>de concorrência,</w:t>
      </w:r>
      <w:r w:rsidR="00017381" w:rsidRPr="00F125C5">
        <w:rPr>
          <w:rFonts w:ascii="Arial" w:hAnsi="Arial" w:cs="Arial"/>
        </w:rPr>
        <w:t xml:space="preserve"> </w:t>
      </w:r>
      <w:r w:rsidR="000D5E05" w:rsidRPr="00F125C5">
        <w:rPr>
          <w:rFonts w:ascii="Arial" w:hAnsi="Arial" w:cs="Arial"/>
        </w:rPr>
        <w:t xml:space="preserve">apresentam riscos </w:t>
      </w:r>
      <w:r w:rsidR="003255B0" w:rsidRPr="00F125C5">
        <w:rPr>
          <w:rFonts w:ascii="Arial" w:hAnsi="Arial" w:cs="Arial"/>
        </w:rPr>
        <w:t xml:space="preserve">e eficiências diversos, que devem ser devidamente explorados. </w:t>
      </w:r>
    </w:p>
    <w:p w14:paraId="5A872099" w14:textId="0CFA6E3E" w:rsidR="00C82735" w:rsidRPr="00F125C5" w:rsidRDefault="00C82735" w:rsidP="00643DBC">
      <w:pPr>
        <w:spacing w:after="0" w:line="360" w:lineRule="auto"/>
        <w:ind w:firstLine="360"/>
        <w:jc w:val="both"/>
        <w:rPr>
          <w:rFonts w:ascii="Arial" w:hAnsi="Arial" w:cs="Arial"/>
        </w:rPr>
      </w:pPr>
    </w:p>
    <w:p w14:paraId="5D6620B8" w14:textId="59C3AC98" w:rsidR="00C82735" w:rsidRPr="00F125C5" w:rsidRDefault="00822855" w:rsidP="00BF7146">
      <w:pPr>
        <w:spacing w:after="0" w:line="360" w:lineRule="auto"/>
        <w:jc w:val="both"/>
        <w:rPr>
          <w:rFonts w:ascii="Arial" w:hAnsi="Arial" w:cs="Arial"/>
          <w:b/>
        </w:rPr>
      </w:pPr>
      <w:r w:rsidRPr="00F125C5">
        <w:rPr>
          <w:rFonts w:ascii="Arial" w:hAnsi="Arial" w:cs="Arial"/>
          <w:b/>
        </w:rPr>
        <w:t>3</w:t>
      </w:r>
      <w:r w:rsidR="00C82735" w:rsidRPr="00F125C5">
        <w:rPr>
          <w:rFonts w:ascii="Arial" w:hAnsi="Arial" w:cs="Arial"/>
          <w:b/>
        </w:rPr>
        <w:t xml:space="preserve">.2. Riscos competitivos vs. </w:t>
      </w:r>
      <w:r w:rsidR="00B7469D" w:rsidRPr="00F125C5">
        <w:rPr>
          <w:rFonts w:ascii="Arial" w:hAnsi="Arial" w:cs="Arial"/>
          <w:b/>
        </w:rPr>
        <w:t>eficiências</w:t>
      </w:r>
    </w:p>
    <w:p w14:paraId="553F5B3E" w14:textId="77777777" w:rsidR="00C962FD" w:rsidRDefault="00C962FD">
      <w:pPr>
        <w:spacing w:after="0" w:line="360" w:lineRule="auto"/>
        <w:ind w:firstLine="709"/>
        <w:jc w:val="both"/>
        <w:rPr>
          <w:rFonts w:ascii="Arial" w:hAnsi="Arial" w:cs="Arial"/>
        </w:rPr>
      </w:pPr>
    </w:p>
    <w:p w14:paraId="3AF919E6" w14:textId="22FA329D" w:rsidR="00573B71" w:rsidRPr="00F125C5" w:rsidRDefault="0000344F">
      <w:pPr>
        <w:spacing w:after="0" w:line="360" w:lineRule="auto"/>
        <w:ind w:firstLine="709"/>
        <w:jc w:val="both"/>
        <w:rPr>
          <w:rFonts w:ascii="Arial" w:hAnsi="Arial" w:cs="Arial"/>
        </w:rPr>
      </w:pPr>
      <w:r w:rsidRPr="00F125C5">
        <w:rPr>
          <w:rFonts w:ascii="Arial" w:hAnsi="Arial" w:cs="Arial"/>
        </w:rPr>
        <w:t xml:space="preserve">Como já apontado, </w:t>
      </w:r>
      <w:r w:rsidR="003255B0" w:rsidRPr="00F125C5">
        <w:rPr>
          <w:rFonts w:ascii="Arial" w:hAnsi="Arial" w:cs="Arial"/>
        </w:rPr>
        <w:t>o modelo regulatório atual</w:t>
      </w:r>
      <w:r w:rsidR="000208AE" w:rsidRPr="00F125C5">
        <w:rPr>
          <w:rFonts w:ascii="Arial" w:hAnsi="Arial" w:cs="Arial"/>
        </w:rPr>
        <w:t xml:space="preserve">, ao mesmo tempo em que veda </w:t>
      </w:r>
      <w:r w:rsidR="001221AC" w:rsidRPr="00F125C5">
        <w:rPr>
          <w:rFonts w:ascii="Arial" w:hAnsi="Arial" w:cs="Arial"/>
        </w:rPr>
        <w:t xml:space="preserve">a verticalização entre os elos da produção e da distribuição com a revenda, tutela uma série de </w:t>
      </w:r>
      <w:r w:rsidR="00117A92" w:rsidRPr="00F125C5">
        <w:rPr>
          <w:rFonts w:ascii="Arial" w:hAnsi="Arial" w:cs="Arial"/>
        </w:rPr>
        <w:t xml:space="preserve">modelos contratuais </w:t>
      </w:r>
      <w:r w:rsidR="00EA4EE0" w:rsidRPr="00F125C5">
        <w:rPr>
          <w:rFonts w:ascii="Arial" w:hAnsi="Arial" w:cs="Arial"/>
        </w:rPr>
        <w:t xml:space="preserve">que acabam reduzindo a incerteza no setor e que, consequentemente, evitam o problema de </w:t>
      </w:r>
      <w:proofErr w:type="spellStart"/>
      <w:r w:rsidR="00EA4EE0" w:rsidRPr="00F125C5">
        <w:rPr>
          <w:rFonts w:ascii="Arial" w:hAnsi="Arial" w:cs="Arial"/>
          <w:i/>
        </w:rPr>
        <w:t>hold-up</w:t>
      </w:r>
      <w:proofErr w:type="spellEnd"/>
      <w:r w:rsidR="00EA4EE0" w:rsidRPr="00F125C5">
        <w:rPr>
          <w:rFonts w:ascii="Arial" w:hAnsi="Arial" w:cs="Arial"/>
        </w:rPr>
        <w:t xml:space="preserve"> de investimentos, sobretudo em função da tutela regulatória dos contratos de exclusividade.</w:t>
      </w:r>
    </w:p>
    <w:p w14:paraId="3740D763" w14:textId="0590DA01" w:rsidR="000E6A03" w:rsidRPr="00F125C5" w:rsidRDefault="00152A10" w:rsidP="005573AA">
      <w:pPr>
        <w:spacing w:after="0" w:line="360" w:lineRule="auto"/>
        <w:ind w:firstLine="709"/>
        <w:jc w:val="both"/>
        <w:rPr>
          <w:rFonts w:ascii="Arial" w:hAnsi="Arial" w:cs="Arial"/>
        </w:rPr>
      </w:pPr>
      <w:r w:rsidRPr="00F125C5">
        <w:rPr>
          <w:rFonts w:ascii="Arial" w:hAnsi="Arial" w:cs="Arial"/>
        </w:rPr>
        <w:t xml:space="preserve">A </w:t>
      </w:r>
      <w:r w:rsidR="003C0053" w:rsidRPr="00F125C5">
        <w:rPr>
          <w:rFonts w:ascii="Arial" w:hAnsi="Arial" w:cs="Arial"/>
        </w:rPr>
        <w:t>extinta Secretaria de Acompanhamento Econômico do Ministério da Fazenda (</w:t>
      </w:r>
      <w:r w:rsidRPr="00F125C5">
        <w:rPr>
          <w:rFonts w:ascii="Arial" w:hAnsi="Arial" w:cs="Arial"/>
        </w:rPr>
        <w:t>Seae</w:t>
      </w:r>
      <w:r w:rsidR="003C0053" w:rsidRPr="00F125C5">
        <w:rPr>
          <w:rFonts w:ascii="Arial" w:hAnsi="Arial" w:cs="Arial"/>
        </w:rPr>
        <w:t>)</w:t>
      </w:r>
      <w:r w:rsidR="00CA5F90" w:rsidRPr="00F125C5">
        <w:rPr>
          <w:rFonts w:ascii="Arial" w:hAnsi="Arial" w:cs="Arial"/>
        </w:rPr>
        <w:t xml:space="preserve"> </w:t>
      </w:r>
      <w:r w:rsidR="00094F74" w:rsidRPr="00F125C5">
        <w:rPr>
          <w:rFonts w:ascii="Arial" w:hAnsi="Arial" w:cs="Arial"/>
        </w:rPr>
        <w:t>já expressou entendimento de que,</w:t>
      </w:r>
      <w:r w:rsidR="00CA5F90" w:rsidRPr="00F125C5">
        <w:rPr>
          <w:rFonts w:ascii="Arial" w:hAnsi="Arial" w:cs="Arial"/>
        </w:rPr>
        <w:t xml:space="preserve"> ao </w:t>
      </w:r>
      <w:r w:rsidR="00564D2C" w:rsidRPr="00F125C5">
        <w:rPr>
          <w:rFonts w:ascii="Arial" w:hAnsi="Arial" w:cs="Arial"/>
        </w:rPr>
        <w:t>optar</w:t>
      </w:r>
      <w:r w:rsidR="00CA5F90" w:rsidRPr="00F125C5">
        <w:rPr>
          <w:rFonts w:ascii="Arial" w:hAnsi="Arial" w:cs="Arial"/>
        </w:rPr>
        <w:t xml:space="preserve"> pelo modelo de </w:t>
      </w:r>
      <w:proofErr w:type="spellStart"/>
      <w:r w:rsidR="00CA5F90" w:rsidRPr="00F125C5">
        <w:rPr>
          <w:rFonts w:ascii="Arial" w:hAnsi="Arial" w:cs="Arial"/>
          <w:i/>
        </w:rPr>
        <w:t>unbundling</w:t>
      </w:r>
      <w:proofErr w:type="spellEnd"/>
      <w:r w:rsidR="00564D2C" w:rsidRPr="00F125C5">
        <w:rPr>
          <w:rFonts w:ascii="Arial" w:hAnsi="Arial" w:cs="Arial"/>
          <w:i/>
        </w:rPr>
        <w:t xml:space="preserve">, </w:t>
      </w:r>
      <w:r w:rsidR="00564D2C" w:rsidRPr="00F125C5">
        <w:rPr>
          <w:rFonts w:ascii="Arial" w:hAnsi="Arial" w:cs="Arial"/>
        </w:rPr>
        <w:t>depreende-se que a ANP esteja</w:t>
      </w:r>
      <w:r w:rsidR="006B45CD" w:rsidRPr="00F125C5">
        <w:rPr>
          <w:rFonts w:ascii="Arial" w:hAnsi="Arial" w:cs="Arial"/>
        </w:rPr>
        <w:t xml:space="preserve"> considerando</w:t>
      </w:r>
      <w:r w:rsidR="00564D2C" w:rsidRPr="00F125C5">
        <w:rPr>
          <w:rFonts w:ascii="Arial" w:hAnsi="Arial" w:cs="Arial"/>
        </w:rPr>
        <w:t>, implicitamente,</w:t>
      </w:r>
      <w:r w:rsidR="006B45CD" w:rsidRPr="00F125C5">
        <w:rPr>
          <w:rFonts w:ascii="Arial" w:hAnsi="Arial" w:cs="Arial"/>
        </w:rPr>
        <w:t xml:space="preserve"> que a proibição à </w:t>
      </w:r>
      <w:r w:rsidR="005353EE" w:rsidRPr="00F125C5">
        <w:rPr>
          <w:rFonts w:ascii="Arial" w:hAnsi="Arial" w:cs="Arial"/>
        </w:rPr>
        <w:t>verticalização</w:t>
      </w:r>
      <w:r w:rsidR="003C0053" w:rsidRPr="00F125C5">
        <w:rPr>
          <w:rFonts w:ascii="Arial" w:hAnsi="Arial" w:cs="Arial"/>
        </w:rPr>
        <w:t xml:space="preserve"> </w:t>
      </w:r>
      <w:r w:rsidR="006B45CD" w:rsidRPr="00F125C5">
        <w:rPr>
          <w:rFonts w:ascii="Arial" w:hAnsi="Arial" w:cs="Arial"/>
        </w:rPr>
        <w:t>seja benéfica à concorrência.</w:t>
      </w:r>
      <w:r w:rsidR="00094F74" w:rsidRPr="00F125C5">
        <w:rPr>
          <w:rStyle w:val="Refdenotaderodap"/>
          <w:rFonts w:ascii="Arial" w:hAnsi="Arial" w:cs="Arial"/>
        </w:rPr>
        <w:footnoteReference w:id="27"/>
      </w:r>
      <w:r w:rsidR="006B45CD" w:rsidRPr="00F125C5">
        <w:rPr>
          <w:rFonts w:ascii="Arial" w:hAnsi="Arial" w:cs="Arial"/>
        </w:rPr>
        <w:t xml:space="preserve"> </w:t>
      </w:r>
      <w:r w:rsidR="002857C1" w:rsidRPr="00F125C5">
        <w:rPr>
          <w:rFonts w:ascii="Arial" w:hAnsi="Arial" w:cs="Arial"/>
        </w:rPr>
        <w:t xml:space="preserve">Embora </w:t>
      </w:r>
      <w:r w:rsidR="00216174" w:rsidRPr="00F125C5">
        <w:rPr>
          <w:rFonts w:ascii="Arial" w:hAnsi="Arial" w:cs="Arial"/>
        </w:rPr>
        <w:t xml:space="preserve">a </w:t>
      </w:r>
      <w:r w:rsidR="00094F74" w:rsidRPr="00F125C5">
        <w:rPr>
          <w:rFonts w:ascii="Arial" w:hAnsi="Arial" w:cs="Arial"/>
        </w:rPr>
        <w:t>ANP</w:t>
      </w:r>
      <w:r w:rsidR="00216174" w:rsidRPr="00F125C5">
        <w:rPr>
          <w:rFonts w:ascii="Arial" w:hAnsi="Arial" w:cs="Arial"/>
        </w:rPr>
        <w:t xml:space="preserve"> não </w:t>
      </w:r>
      <w:r w:rsidR="003C0053" w:rsidRPr="00F125C5">
        <w:rPr>
          <w:rFonts w:ascii="Arial" w:hAnsi="Arial" w:cs="Arial"/>
        </w:rPr>
        <w:t>tenha explicitado</w:t>
      </w:r>
      <w:r w:rsidR="00216174" w:rsidRPr="00F125C5">
        <w:rPr>
          <w:rFonts w:ascii="Arial" w:hAnsi="Arial" w:cs="Arial"/>
        </w:rPr>
        <w:t xml:space="preserve"> as razões </w:t>
      </w:r>
      <w:r w:rsidR="005568E5" w:rsidRPr="00F125C5">
        <w:rPr>
          <w:rFonts w:ascii="Arial" w:hAnsi="Arial" w:cs="Arial"/>
        </w:rPr>
        <w:t>que levaram a</w:t>
      </w:r>
      <w:r w:rsidR="00395092" w:rsidRPr="00F125C5">
        <w:rPr>
          <w:rFonts w:ascii="Arial" w:hAnsi="Arial" w:cs="Arial"/>
        </w:rPr>
        <w:t xml:space="preserve"> legislação </w:t>
      </w:r>
      <w:r w:rsidR="005568E5" w:rsidRPr="00F125C5">
        <w:rPr>
          <w:rFonts w:ascii="Arial" w:hAnsi="Arial" w:cs="Arial"/>
        </w:rPr>
        <w:t xml:space="preserve">a </w:t>
      </w:r>
      <w:r w:rsidR="00395092" w:rsidRPr="00F125C5">
        <w:rPr>
          <w:rFonts w:ascii="Arial" w:hAnsi="Arial" w:cs="Arial"/>
        </w:rPr>
        <w:t xml:space="preserve">proibir a participação </w:t>
      </w:r>
      <w:r w:rsidR="00413532" w:rsidRPr="00F125C5">
        <w:rPr>
          <w:rFonts w:ascii="Arial" w:hAnsi="Arial" w:cs="Arial"/>
        </w:rPr>
        <w:t>das distribuidoras na revenda, isso poderia estar relacionado</w:t>
      </w:r>
      <w:r w:rsidR="001556E5" w:rsidRPr="00F125C5">
        <w:rPr>
          <w:rFonts w:ascii="Arial" w:hAnsi="Arial" w:cs="Arial"/>
        </w:rPr>
        <w:t xml:space="preserve">, como destacado em precedente do </w:t>
      </w:r>
      <w:proofErr w:type="spellStart"/>
      <w:r w:rsidR="001556E5" w:rsidRPr="00F125C5">
        <w:rPr>
          <w:rFonts w:ascii="Arial" w:hAnsi="Arial" w:cs="Arial"/>
        </w:rPr>
        <w:t>Cade</w:t>
      </w:r>
      <w:proofErr w:type="spellEnd"/>
      <w:r w:rsidR="00325581" w:rsidRPr="00F125C5">
        <w:rPr>
          <w:rStyle w:val="Refdenotaderodap"/>
          <w:rFonts w:ascii="Arial" w:hAnsi="Arial" w:cs="Arial"/>
        </w:rPr>
        <w:footnoteReference w:id="28"/>
      </w:r>
      <w:r w:rsidR="001556E5" w:rsidRPr="00F125C5">
        <w:rPr>
          <w:rFonts w:ascii="Arial" w:hAnsi="Arial" w:cs="Arial"/>
        </w:rPr>
        <w:t>,</w:t>
      </w:r>
      <w:r w:rsidR="00413532" w:rsidRPr="00F125C5">
        <w:rPr>
          <w:rFonts w:ascii="Arial" w:hAnsi="Arial" w:cs="Arial"/>
        </w:rPr>
        <w:t xml:space="preserve"> com </w:t>
      </w:r>
      <w:r w:rsidR="008742A7" w:rsidRPr="00F125C5">
        <w:rPr>
          <w:rFonts w:ascii="Arial" w:hAnsi="Arial" w:cs="Arial"/>
        </w:rPr>
        <w:t>a proposta de evitar ou reduzir, quando possível</w:t>
      </w:r>
      <w:r w:rsidR="00A01E8C" w:rsidRPr="00F125C5">
        <w:rPr>
          <w:rFonts w:ascii="Arial" w:hAnsi="Arial" w:cs="Arial"/>
        </w:rPr>
        <w:t xml:space="preserve">, </w:t>
      </w:r>
      <w:r w:rsidR="008742A7" w:rsidRPr="00F125C5">
        <w:rPr>
          <w:rFonts w:ascii="Arial" w:hAnsi="Arial" w:cs="Arial"/>
          <w:b/>
        </w:rPr>
        <w:t>risco</w:t>
      </w:r>
      <w:r w:rsidR="00736D67" w:rsidRPr="00F125C5">
        <w:rPr>
          <w:rFonts w:ascii="Arial" w:hAnsi="Arial" w:cs="Arial"/>
          <w:b/>
        </w:rPr>
        <w:t>s à concorrência</w:t>
      </w:r>
      <w:r w:rsidR="00736D67" w:rsidRPr="00F125C5">
        <w:rPr>
          <w:rFonts w:ascii="Arial" w:hAnsi="Arial" w:cs="Arial"/>
        </w:rPr>
        <w:t xml:space="preserve"> do setor, em especial os relativos ao</w:t>
      </w:r>
      <w:r w:rsidR="008742A7" w:rsidRPr="00F125C5">
        <w:rPr>
          <w:rFonts w:ascii="Arial" w:hAnsi="Arial" w:cs="Arial"/>
        </w:rPr>
        <w:t xml:space="preserve"> </w:t>
      </w:r>
      <w:r w:rsidR="00736D67" w:rsidRPr="00F125C5">
        <w:rPr>
          <w:rFonts w:ascii="Arial" w:hAnsi="Arial" w:cs="Arial"/>
          <w:b/>
        </w:rPr>
        <w:t xml:space="preserve">(i) </w:t>
      </w:r>
      <w:r w:rsidR="008742A7" w:rsidRPr="00F125C5">
        <w:rPr>
          <w:rFonts w:ascii="Arial" w:hAnsi="Arial" w:cs="Arial"/>
        </w:rPr>
        <w:t>fechamento de mercado</w:t>
      </w:r>
      <w:r w:rsidR="001011A1" w:rsidRPr="00F125C5">
        <w:rPr>
          <w:rFonts w:ascii="Arial" w:hAnsi="Arial" w:cs="Arial"/>
        </w:rPr>
        <w:t xml:space="preserve"> (por meio, por exemplo, do possível aumento dos custos dos rivais)</w:t>
      </w:r>
      <w:r w:rsidR="0068250A" w:rsidRPr="00F125C5">
        <w:rPr>
          <w:rFonts w:ascii="Arial" w:hAnsi="Arial" w:cs="Arial"/>
        </w:rPr>
        <w:t xml:space="preserve">, </w:t>
      </w:r>
      <w:r w:rsidR="00736D67" w:rsidRPr="00F125C5">
        <w:rPr>
          <w:rFonts w:ascii="Arial" w:hAnsi="Arial" w:cs="Arial"/>
        </w:rPr>
        <w:t xml:space="preserve">ao </w:t>
      </w:r>
      <w:r w:rsidR="00736D67" w:rsidRPr="00F125C5">
        <w:rPr>
          <w:rFonts w:ascii="Arial" w:hAnsi="Arial" w:cs="Arial"/>
          <w:b/>
        </w:rPr>
        <w:t>(</w:t>
      </w:r>
      <w:proofErr w:type="spellStart"/>
      <w:r w:rsidR="00736D67" w:rsidRPr="00F125C5">
        <w:rPr>
          <w:rFonts w:ascii="Arial" w:hAnsi="Arial" w:cs="Arial"/>
          <w:b/>
        </w:rPr>
        <w:t>ii</w:t>
      </w:r>
      <w:proofErr w:type="spellEnd"/>
      <w:r w:rsidR="00736D67" w:rsidRPr="00F125C5">
        <w:rPr>
          <w:rFonts w:ascii="Arial" w:hAnsi="Arial" w:cs="Arial"/>
          <w:b/>
        </w:rPr>
        <w:t>)</w:t>
      </w:r>
      <w:r w:rsidR="003C0053" w:rsidRPr="00F125C5">
        <w:rPr>
          <w:rFonts w:ascii="Arial" w:hAnsi="Arial" w:cs="Arial"/>
          <w:b/>
        </w:rPr>
        <w:t> </w:t>
      </w:r>
      <w:r w:rsidR="00387386" w:rsidRPr="00F125C5">
        <w:rPr>
          <w:rFonts w:ascii="Arial" w:hAnsi="Arial" w:cs="Arial"/>
        </w:rPr>
        <w:t>aumento das barreiras à entrada</w:t>
      </w:r>
      <w:r w:rsidR="002E2727" w:rsidRPr="00F125C5">
        <w:rPr>
          <w:rFonts w:ascii="Arial" w:hAnsi="Arial" w:cs="Arial"/>
        </w:rPr>
        <w:t xml:space="preserve"> </w:t>
      </w:r>
      <w:r w:rsidR="001011A1" w:rsidRPr="00F125C5">
        <w:rPr>
          <w:rFonts w:ascii="Arial" w:hAnsi="Arial" w:cs="Arial"/>
        </w:rPr>
        <w:t>(a ponto</w:t>
      </w:r>
      <w:r w:rsidR="000250B8" w:rsidRPr="00F125C5">
        <w:rPr>
          <w:rFonts w:ascii="Arial" w:hAnsi="Arial" w:cs="Arial"/>
        </w:rPr>
        <w:t xml:space="preserve">, por exemplo, de tornar a entrada suficiente apenas quando for simultânea na revenda e na distribuição) </w:t>
      </w:r>
      <w:r w:rsidR="002E2727" w:rsidRPr="00F125C5">
        <w:rPr>
          <w:rFonts w:ascii="Arial" w:hAnsi="Arial" w:cs="Arial"/>
        </w:rPr>
        <w:t>e</w:t>
      </w:r>
      <w:r w:rsidR="002A6925" w:rsidRPr="00F125C5">
        <w:rPr>
          <w:rFonts w:ascii="Arial" w:hAnsi="Arial" w:cs="Arial"/>
        </w:rPr>
        <w:t xml:space="preserve"> </w:t>
      </w:r>
      <w:r w:rsidR="001011A1" w:rsidRPr="00F125C5">
        <w:rPr>
          <w:rFonts w:ascii="Arial" w:hAnsi="Arial" w:cs="Arial"/>
        </w:rPr>
        <w:t>d</w:t>
      </w:r>
      <w:r w:rsidR="00736D67" w:rsidRPr="00F125C5">
        <w:rPr>
          <w:rFonts w:ascii="Arial" w:hAnsi="Arial" w:cs="Arial"/>
        </w:rPr>
        <w:t xml:space="preserve">a </w:t>
      </w:r>
      <w:r w:rsidR="00736D67" w:rsidRPr="00F125C5">
        <w:rPr>
          <w:rFonts w:ascii="Arial" w:hAnsi="Arial" w:cs="Arial"/>
          <w:b/>
        </w:rPr>
        <w:t>(</w:t>
      </w:r>
      <w:proofErr w:type="spellStart"/>
      <w:r w:rsidR="00736D67" w:rsidRPr="00F125C5">
        <w:rPr>
          <w:rFonts w:ascii="Arial" w:hAnsi="Arial" w:cs="Arial"/>
          <w:b/>
        </w:rPr>
        <w:t>iii</w:t>
      </w:r>
      <w:proofErr w:type="spellEnd"/>
      <w:r w:rsidR="00736D67" w:rsidRPr="00F125C5">
        <w:rPr>
          <w:rFonts w:ascii="Arial" w:hAnsi="Arial" w:cs="Arial"/>
          <w:b/>
        </w:rPr>
        <w:t>)</w:t>
      </w:r>
      <w:r w:rsidR="003C0053" w:rsidRPr="00F125C5">
        <w:rPr>
          <w:rFonts w:ascii="Arial" w:hAnsi="Arial" w:cs="Arial"/>
          <w:b/>
        </w:rPr>
        <w:t> </w:t>
      </w:r>
      <w:r w:rsidR="002A6925" w:rsidRPr="00F125C5">
        <w:rPr>
          <w:rFonts w:ascii="Arial" w:hAnsi="Arial" w:cs="Arial"/>
        </w:rPr>
        <w:t>facilitação d</w:t>
      </w:r>
      <w:r w:rsidR="00C52F4C" w:rsidRPr="00F125C5">
        <w:rPr>
          <w:rFonts w:ascii="Arial" w:hAnsi="Arial" w:cs="Arial"/>
        </w:rPr>
        <w:t>e</w:t>
      </w:r>
      <w:r w:rsidR="002A6925" w:rsidRPr="00F125C5">
        <w:rPr>
          <w:rFonts w:ascii="Arial" w:hAnsi="Arial" w:cs="Arial"/>
        </w:rPr>
        <w:t xml:space="preserve"> adoção de condutas coordenadas</w:t>
      </w:r>
      <w:r w:rsidR="000250B8" w:rsidRPr="00F125C5">
        <w:rPr>
          <w:rFonts w:ascii="Arial" w:hAnsi="Arial" w:cs="Arial"/>
        </w:rPr>
        <w:t xml:space="preserve"> (</w:t>
      </w:r>
      <w:r w:rsidR="00756E19" w:rsidRPr="00F125C5">
        <w:rPr>
          <w:rFonts w:ascii="Arial" w:hAnsi="Arial" w:cs="Arial"/>
        </w:rPr>
        <w:t xml:space="preserve">já que seria mais fácil para a indústria identificar os agentes que estariam desviando de um acordo </w:t>
      </w:r>
      <w:proofErr w:type="spellStart"/>
      <w:r w:rsidR="001C677F" w:rsidRPr="00F125C5">
        <w:rPr>
          <w:rFonts w:ascii="Arial" w:hAnsi="Arial" w:cs="Arial"/>
        </w:rPr>
        <w:t>colusivo</w:t>
      </w:r>
      <w:proofErr w:type="spellEnd"/>
      <w:r w:rsidR="001C677F" w:rsidRPr="00F125C5">
        <w:rPr>
          <w:rFonts w:ascii="Arial" w:hAnsi="Arial" w:cs="Arial"/>
        </w:rPr>
        <w:t>)</w:t>
      </w:r>
      <w:r w:rsidR="0068250A" w:rsidRPr="00F125C5">
        <w:rPr>
          <w:rFonts w:ascii="Arial" w:hAnsi="Arial" w:cs="Arial"/>
        </w:rPr>
        <w:t>.</w:t>
      </w:r>
      <w:r w:rsidR="004205B2" w:rsidRPr="00F125C5">
        <w:rPr>
          <w:rStyle w:val="Refdenotaderodap"/>
          <w:rFonts w:ascii="Arial" w:hAnsi="Arial" w:cs="Arial"/>
        </w:rPr>
        <w:footnoteReference w:id="29"/>
      </w:r>
      <w:r w:rsidR="005568E5" w:rsidRPr="00F125C5">
        <w:rPr>
          <w:rFonts w:ascii="Arial" w:hAnsi="Arial" w:cs="Arial"/>
        </w:rPr>
        <w:t xml:space="preserve"> </w:t>
      </w:r>
      <w:r w:rsidR="003C0D12" w:rsidRPr="00F125C5">
        <w:rPr>
          <w:rFonts w:ascii="Arial" w:hAnsi="Arial" w:cs="Arial"/>
        </w:rPr>
        <w:t xml:space="preserve">Embora esses efeitos sejam comumente relacionados à verticalização, não </w:t>
      </w:r>
      <w:r w:rsidR="003C0D12" w:rsidRPr="00F125C5">
        <w:rPr>
          <w:rFonts w:ascii="Arial" w:hAnsi="Arial" w:cs="Arial"/>
        </w:rPr>
        <w:lastRenderedPageBreak/>
        <w:t xml:space="preserve">são a ela adstritos, </w:t>
      </w:r>
      <w:r w:rsidR="00AE5AF7" w:rsidRPr="00F125C5">
        <w:rPr>
          <w:rFonts w:ascii="Arial" w:hAnsi="Arial" w:cs="Arial"/>
        </w:rPr>
        <w:t>sendo verificados também em mercados não verticalizados, conforme já apontado pela ANP.</w:t>
      </w:r>
      <w:r w:rsidR="0053083F" w:rsidRPr="00F125C5">
        <w:rPr>
          <w:rStyle w:val="Refdenotaderodap"/>
          <w:rFonts w:ascii="Arial" w:hAnsi="Arial" w:cs="Arial"/>
        </w:rPr>
        <w:footnoteReference w:id="30"/>
      </w:r>
      <w:r w:rsidR="00AE5AF7" w:rsidRPr="00F125C5">
        <w:rPr>
          <w:rFonts w:ascii="Arial" w:hAnsi="Arial" w:cs="Arial"/>
        </w:rPr>
        <w:t xml:space="preserve"> </w:t>
      </w:r>
    </w:p>
    <w:p w14:paraId="443E8E8D" w14:textId="35428B99" w:rsidR="0015792F" w:rsidRPr="00F125C5" w:rsidRDefault="00AE5AF7" w:rsidP="005573AA">
      <w:pPr>
        <w:spacing w:after="0" w:line="360" w:lineRule="auto"/>
        <w:ind w:firstLine="708"/>
        <w:jc w:val="both"/>
        <w:rPr>
          <w:rFonts w:ascii="Arial" w:hAnsi="Arial" w:cs="Arial"/>
        </w:rPr>
      </w:pPr>
      <w:r w:rsidRPr="00F125C5">
        <w:rPr>
          <w:rFonts w:ascii="Arial" w:hAnsi="Arial" w:cs="Arial"/>
        </w:rPr>
        <w:t>Em sentido semelhante, a</w:t>
      </w:r>
      <w:r w:rsidR="0015792F" w:rsidRPr="00F125C5">
        <w:rPr>
          <w:rFonts w:ascii="Arial" w:hAnsi="Arial" w:cs="Arial"/>
        </w:rPr>
        <w:t xml:space="preserve"> O</w:t>
      </w:r>
      <w:r w:rsidR="003C0053" w:rsidRPr="00F125C5">
        <w:rPr>
          <w:rFonts w:ascii="Arial" w:hAnsi="Arial" w:cs="Arial"/>
        </w:rPr>
        <w:t xml:space="preserve">rganização para </w:t>
      </w:r>
      <w:r w:rsidR="0015792F" w:rsidRPr="00F125C5">
        <w:rPr>
          <w:rFonts w:ascii="Arial" w:hAnsi="Arial" w:cs="Arial"/>
        </w:rPr>
        <w:t>C</w:t>
      </w:r>
      <w:r w:rsidR="003C0053" w:rsidRPr="00F125C5">
        <w:rPr>
          <w:rFonts w:ascii="Arial" w:hAnsi="Arial" w:cs="Arial"/>
        </w:rPr>
        <w:t xml:space="preserve">ooperação e </w:t>
      </w:r>
      <w:r w:rsidR="0015792F" w:rsidRPr="00F125C5">
        <w:rPr>
          <w:rFonts w:ascii="Arial" w:hAnsi="Arial" w:cs="Arial"/>
        </w:rPr>
        <w:t>D</w:t>
      </w:r>
      <w:r w:rsidR="003C0053" w:rsidRPr="00F125C5">
        <w:rPr>
          <w:rFonts w:ascii="Arial" w:hAnsi="Arial" w:cs="Arial"/>
        </w:rPr>
        <w:t xml:space="preserve">esenvolvimento </w:t>
      </w:r>
      <w:r w:rsidR="0015792F" w:rsidRPr="00F125C5">
        <w:rPr>
          <w:rFonts w:ascii="Arial" w:hAnsi="Arial" w:cs="Arial"/>
        </w:rPr>
        <w:t>E</w:t>
      </w:r>
      <w:r w:rsidR="003C0053" w:rsidRPr="00F125C5">
        <w:rPr>
          <w:rFonts w:ascii="Arial" w:hAnsi="Arial" w:cs="Arial"/>
        </w:rPr>
        <w:t>conômico (OCDE)</w:t>
      </w:r>
      <w:r w:rsidRPr="00F125C5">
        <w:rPr>
          <w:rFonts w:ascii="Arial" w:hAnsi="Arial" w:cs="Arial"/>
        </w:rPr>
        <w:t xml:space="preserve"> </w:t>
      </w:r>
      <w:r w:rsidR="0053083F" w:rsidRPr="00F125C5">
        <w:rPr>
          <w:rFonts w:ascii="Arial" w:hAnsi="Arial" w:cs="Arial"/>
        </w:rPr>
        <w:t xml:space="preserve">já </w:t>
      </w:r>
      <w:r w:rsidR="0015792F" w:rsidRPr="00F125C5">
        <w:rPr>
          <w:rFonts w:ascii="Arial" w:hAnsi="Arial" w:cs="Arial"/>
        </w:rPr>
        <w:t xml:space="preserve">reuniu evidências de que, em alguns países, problemas concorrenciais no mercado de revenda de combustíveis eram verificados </w:t>
      </w:r>
      <w:r w:rsidR="00BD4EE2" w:rsidRPr="00F125C5">
        <w:rPr>
          <w:rFonts w:ascii="Arial" w:hAnsi="Arial" w:cs="Arial"/>
          <w:lang w:val="pt-PT"/>
        </w:rPr>
        <w:t>em mercados</w:t>
      </w:r>
      <w:r w:rsidR="0015792F" w:rsidRPr="00F125C5">
        <w:rPr>
          <w:rFonts w:ascii="Arial" w:hAnsi="Arial" w:cs="Arial"/>
          <w:lang w:val="pt-PT"/>
        </w:rPr>
        <w:t xml:space="preserve"> </w:t>
      </w:r>
      <w:r w:rsidR="00BD4EE2" w:rsidRPr="00F125C5">
        <w:rPr>
          <w:rFonts w:ascii="Arial" w:hAnsi="Arial" w:cs="Arial"/>
        </w:rPr>
        <w:t xml:space="preserve">principalmente </w:t>
      </w:r>
      <w:r w:rsidR="0015792F" w:rsidRPr="00F125C5">
        <w:rPr>
          <w:rFonts w:ascii="Arial" w:hAnsi="Arial" w:cs="Arial"/>
          <w:lang w:val="pt-PT"/>
        </w:rPr>
        <w:t>caracterizad</w:t>
      </w:r>
      <w:r w:rsidR="00BD4EE2" w:rsidRPr="00F125C5">
        <w:rPr>
          <w:rFonts w:ascii="Arial" w:hAnsi="Arial" w:cs="Arial"/>
          <w:lang w:val="pt-PT"/>
        </w:rPr>
        <w:t>os</w:t>
      </w:r>
      <w:r w:rsidR="0015792F" w:rsidRPr="00F125C5">
        <w:rPr>
          <w:rFonts w:ascii="Arial" w:hAnsi="Arial" w:cs="Arial"/>
          <w:lang w:val="pt-PT"/>
        </w:rPr>
        <w:t xml:space="preserve"> por um número reduzido de agentes verticalmente integrados e </w:t>
      </w:r>
      <w:r w:rsidR="00F21736" w:rsidRPr="00F125C5">
        <w:rPr>
          <w:rFonts w:ascii="Arial" w:hAnsi="Arial" w:cs="Arial"/>
          <w:lang w:val="pt-PT"/>
        </w:rPr>
        <w:t xml:space="preserve">em </w:t>
      </w:r>
      <w:r w:rsidR="00BD4EE2" w:rsidRPr="00F125C5">
        <w:rPr>
          <w:rFonts w:ascii="Arial" w:hAnsi="Arial" w:cs="Arial"/>
          <w:lang w:val="pt-PT"/>
        </w:rPr>
        <w:t>que existiam</w:t>
      </w:r>
      <w:r w:rsidR="00F21736" w:rsidRPr="00F125C5">
        <w:rPr>
          <w:rFonts w:ascii="Arial" w:hAnsi="Arial" w:cs="Arial"/>
          <w:lang w:val="pt-PT"/>
        </w:rPr>
        <w:t xml:space="preserve"> </w:t>
      </w:r>
      <w:r w:rsidR="0015792F" w:rsidRPr="00F125C5">
        <w:rPr>
          <w:rFonts w:ascii="Arial" w:hAnsi="Arial" w:cs="Arial"/>
          <w:lang w:val="pt-PT"/>
        </w:rPr>
        <w:t>altas barreiras à entrada</w:t>
      </w:r>
      <w:r w:rsidR="0015792F" w:rsidRPr="00F125C5">
        <w:rPr>
          <w:rFonts w:ascii="Arial" w:hAnsi="Arial" w:cs="Arial"/>
        </w:rPr>
        <w:t>. Esta estrutura</w:t>
      </w:r>
      <w:r w:rsidR="00BD4EE2" w:rsidRPr="00F125C5">
        <w:rPr>
          <w:rFonts w:ascii="Arial" w:hAnsi="Arial" w:cs="Arial"/>
        </w:rPr>
        <w:t>, para além de</w:t>
      </w:r>
      <w:r w:rsidR="0015792F" w:rsidRPr="00F125C5">
        <w:rPr>
          <w:rFonts w:ascii="Arial" w:hAnsi="Arial" w:cs="Arial"/>
        </w:rPr>
        <w:t xml:space="preserve"> </w:t>
      </w:r>
      <w:r w:rsidR="00BD4EE2" w:rsidRPr="00F125C5">
        <w:rPr>
          <w:rFonts w:ascii="Arial" w:hAnsi="Arial" w:cs="Arial"/>
        </w:rPr>
        <w:t>diminuir o nível</w:t>
      </w:r>
      <w:r w:rsidR="000E7E2B" w:rsidRPr="00F125C5">
        <w:rPr>
          <w:rFonts w:ascii="Arial" w:hAnsi="Arial" w:cs="Arial"/>
        </w:rPr>
        <w:t xml:space="preserve"> </w:t>
      </w:r>
      <w:r w:rsidR="00BD4EE2" w:rsidRPr="00F125C5">
        <w:rPr>
          <w:rFonts w:ascii="Arial" w:hAnsi="Arial" w:cs="Arial"/>
        </w:rPr>
        <w:t>de</w:t>
      </w:r>
      <w:r w:rsidR="000E7E2B" w:rsidRPr="00F125C5">
        <w:rPr>
          <w:rFonts w:ascii="Arial" w:hAnsi="Arial" w:cs="Arial"/>
        </w:rPr>
        <w:t xml:space="preserve"> concorrência do mercado</w:t>
      </w:r>
      <w:r w:rsidR="00BD4EE2" w:rsidRPr="00F125C5">
        <w:rPr>
          <w:rFonts w:ascii="Arial" w:hAnsi="Arial" w:cs="Arial"/>
        </w:rPr>
        <w:t>,</w:t>
      </w:r>
      <w:r w:rsidR="000E7E2B" w:rsidRPr="00F125C5">
        <w:rPr>
          <w:rFonts w:ascii="Arial" w:hAnsi="Arial" w:cs="Arial"/>
        </w:rPr>
        <w:t xml:space="preserve"> facilitaria a adoção de condutas </w:t>
      </w:r>
      <w:proofErr w:type="spellStart"/>
      <w:r w:rsidR="000E7E2B" w:rsidRPr="00F125C5">
        <w:rPr>
          <w:rFonts w:ascii="Arial" w:hAnsi="Arial" w:cs="Arial"/>
        </w:rPr>
        <w:t>anticompetitivas</w:t>
      </w:r>
      <w:proofErr w:type="spellEnd"/>
      <w:r w:rsidR="000E7E2B" w:rsidRPr="00F125C5">
        <w:rPr>
          <w:rFonts w:ascii="Arial" w:hAnsi="Arial" w:cs="Arial"/>
        </w:rPr>
        <w:t xml:space="preserve">, </w:t>
      </w:r>
      <w:r w:rsidR="00BD4EE2" w:rsidRPr="00F125C5">
        <w:rPr>
          <w:rFonts w:ascii="Arial" w:hAnsi="Arial" w:cs="Arial"/>
        </w:rPr>
        <w:t>em especial</w:t>
      </w:r>
      <w:r w:rsidR="000E7E2B" w:rsidRPr="00F125C5">
        <w:rPr>
          <w:rFonts w:ascii="Arial" w:hAnsi="Arial" w:cs="Arial"/>
        </w:rPr>
        <w:t xml:space="preserve"> </w:t>
      </w:r>
      <w:r w:rsidR="0015792F" w:rsidRPr="00F125C5">
        <w:rPr>
          <w:rFonts w:ascii="Arial" w:hAnsi="Arial" w:cs="Arial"/>
        </w:rPr>
        <w:t xml:space="preserve">a colusão </w:t>
      </w:r>
      <w:r w:rsidR="000E7E2B" w:rsidRPr="00F125C5">
        <w:rPr>
          <w:rFonts w:ascii="Arial" w:hAnsi="Arial" w:cs="Arial"/>
        </w:rPr>
        <w:t>entre empresas (tanto a expressa quanto a tácita)</w:t>
      </w:r>
      <w:r w:rsidR="0015792F" w:rsidRPr="00F125C5">
        <w:rPr>
          <w:rFonts w:ascii="Arial" w:hAnsi="Arial" w:cs="Arial"/>
        </w:rPr>
        <w:t>.</w:t>
      </w:r>
      <w:r w:rsidR="0015792F" w:rsidRPr="00F125C5">
        <w:rPr>
          <w:rFonts w:ascii="Arial" w:hAnsi="Arial" w:cs="Arial"/>
          <w:vertAlign w:val="superscript"/>
        </w:rPr>
        <w:footnoteReference w:id="31"/>
      </w:r>
      <w:r w:rsidR="0015792F" w:rsidRPr="00F125C5">
        <w:rPr>
          <w:rFonts w:ascii="Arial" w:hAnsi="Arial" w:cs="Arial"/>
        </w:rPr>
        <w:t xml:space="preserve"> Inclusive, processos de </w:t>
      </w:r>
      <w:proofErr w:type="spellStart"/>
      <w:r w:rsidR="0015792F" w:rsidRPr="00F125C5">
        <w:rPr>
          <w:rFonts w:ascii="Arial" w:hAnsi="Arial" w:cs="Arial"/>
        </w:rPr>
        <w:t>desverticalização</w:t>
      </w:r>
      <w:proofErr w:type="spellEnd"/>
      <w:r w:rsidR="0015792F" w:rsidRPr="00F125C5">
        <w:rPr>
          <w:rFonts w:ascii="Arial" w:hAnsi="Arial" w:cs="Arial"/>
        </w:rPr>
        <w:t xml:space="preserve"> </w:t>
      </w:r>
      <w:r w:rsidR="00E46B40" w:rsidRPr="00F125C5">
        <w:rPr>
          <w:rFonts w:ascii="Arial" w:hAnsi="Arial" w:cs="Arial"/>
        </w:rPr>
        <w:t xml:space="preserve">que foram </w:t>
      </w:r>
      <w:r w:rsidR="0015792F" w:rsidRPr="00F125C5">
        <w:rPr>
          <w:rFonts w:ascii="Arial" w:hAnsi="Arial" w:cs="Arial"/>
        </w:rPr>
        <w:t xml:space="preserve">verificados em alguns países, como o Reino Unido, possibilitaram um aumento das importações de combustíveis por postos revendedores, aumentando consideravelmente a rivalidade no mercado e diminuindo os preços aos consumidores finais. </w:t>
      </w:r>
    </w:p>
    <w:p w14:paraId="120706B3" w14:textId="5A029571" w:rsidR="00ED1634" w:rsidRPr="00F125C5" w:rsidRDefault="00C82735" w:rsidP="00F707F7">
      <w:pPr>
        <w:spacing w:after="0" w:line="360" w:lineRule="auto"/>
        <w:ind w:firstLine="709"/>
        <w:jc w:val="both"/>
        <w:rPr>
          <w:rFonts w:ascii="Arial" w:hAnsi="Arial" w:cs="Arial"/>
        </w:rPr>
      </w:pPr>
      <w:r w:rsidRPr="00F125C5">
        <w:rPr>
          <w:rFonts w:ascii="Arial" w:hAnsi="Arial" w:cs="Arial"/>
        </w:rPr>
        <w:t>E</w:t>
      </w:r>
      <w:r w:rsidR="00A17F11" w:rsidRPr="00F125C5">
        <w:rPr>
          <w:rFonts w:ascii="Arial" w:hAnsi="Arial" w:cs="Arial"/>
        </w:rPr>
        <w:t xml:space="preserve">m que pese </w:t>
      </w:r>
      <w:r w:rsidR="00825057" w:rsidRPr="00F125C5">
        <w:rPr>
          <w:rFonts w:ascii="Arial" w:hAnsi="Arial" w:cs="Arial"/>
        </w:rPr>
        <w:t xml:space="preserve">essa vinculação não rara entre verticalização e </w:t>
      </w:r>
      <w:r w:rsidR="00A17F11" w:rsidRPr="00F125C5">
        <w:rPr>
          <w:rFonts w:ascii="Arial" w:hAnsi="Arial" w:cs="Arial"/>
        </w:rPr>
        <w:t xml:space="preserve">riscos </w:t>
      </w:r>
      <w:r w:rsidR="00825057" w:rsidRPr="00F125C5">
        <w:rPr>
          <w:rFonts w:ascii="Arial" w:hAnsi="Arial" w:cs="Arial"/>
        </w:rPr>
        <w:t>competitivos</w:t>
      </w:r>
      <w:r w:rsidR="00A17F11" w:rsidRPr="00F125C5">
        <w:rPr>
          <w:rFonts w:ascii="Arial" w:hAnsi="Arial" w:cs="Arial"/>
        </w:rPr>
        <w:t xml:space="preserve">, </w:t>
      </w:r>
      <w:r w:rsidR="000235FD" w:rsidRPr="00F125C5">
        <w:rPr>
          <w:rFonts w:ascii="Arial" w:hAnsi="Arial" w:cs="Arial"/>
        </w:rPr>
        <w:t>várias</w:t>
      </w:r>
      <w:r w:rsidR="00A17F11" w:rsidRPr="00F125C5">
        <w:rPr>
          <w:rFonts w:ascii="Arial" w:hAnsi="Arial" w:cs="Arial"/>
        </w:rPr>
        <w:t xml:space="preserve"> </w:t>
      </w:r>
      <w:r w:rsidR="00A17F11" w:rsidRPr="00F125C5">
        <w:rPr>
          <w:rFonts w:ascii="Arial" w:hAnsi="Arial" w:cs="Arial"/>
          <w:b/>
        </w:rPr>
        <w:t>eficiências econômicas</w:t>
      </w:r>
      <w:r w:rsidR="00A17F11" w:rsidRPr="00F125C5">
        <w:rPr>
          <w:rFonts w:ascii="Arial" w:hAnsi="Arial" w:cs="Arial"/>
        </w:rPr>
        <w:t xml:space="preserve"> significativas </w:t>
      </w:r>
      <w:r w:rsidR="00DF55FF" w:rsidRPr="00F125C5">
        <w:rPr>
          <w:rFonts w:ascii="Arial" w:hAnsi="Arial" w:cs="Arial"/>
        </w:rPr>
        <w:t xml:space="preserve">também estão </w:t>
      </w:r>
      <w:r w:rsidR="00825057" w:rsidRPr="00F125C5">
        <w:rPr>
          <w:rFonts w:ascii="Arial" w:hAnsi="Arial" w:cs="Arial"/>
        </w:rPr>
        <w:t>diretamente associadas a um processo de integração vertical</w:t>
      </w:r>
      <w:r w:rsidR="00DF55FF" w:rsidRPr="00F125C5">
        <w:rPr>
          <w:rFonts w:ascii="Arial" w:hAnsi="Arial" w:cs="Arial"/>
        </w:rPr>
        <w:t xml:space="preserve">. </w:t>
      </w:r>
      <w:r w:rsidR="004F1DDA" w:rsidRPr="00F125C5">
        <w:rPr>
          <w:rFonts w:ascii="Arial" w:hAnsi="Arial" w:cs="Arial"/>
        </w:rPr>
        <w:t xml:space="preserve">A </w:t>
      </w:r>
      <w:r w:rsidR="00825057" w:rsidRPr="00F125C5">
        <w:rPr>
          <w:rFonts w:ascii="Arial" w:hAnsi="Arial" w:cs="Arial"/>
        </w:rPr>
        <w:t>verticalização</w:t>
      </w:r>
      <w:r w:rsidR="004F1DDA" w:rsidRPr="00F125C5">
        <w:rPr>
          <w:rFonts w:ascii="Arial" w:hAnsi="Arial" w:cs="Arial"/>
        </w:rPr>
        <w:t xml:space="preserve"> </w:t>
      </w:r>
      <w:r w:rsidR="00825057" w:rsidRPr="00F125C5">
        <w:rPr>
          <w:rFonts w:ascii="Arial" w:hAnsi="Arial" w:cs="Arial"/>
        </w:rPr>
        <w:t>de</w:t>
      </w:r>
      <w:r w:rsidR="004F1DDA" w:rsidRPr="00F125C5">
        <w:rPr>
          <w:rFonts w:ascii="Arial" w:hAnsi="Arial" w:cs="Arial"/>
        </w:rPr>
        <w:t xml:space="preserve"> dois elos de uma mesma cadeia de valor pode</w:t>
      </w:r>
      <w:r w:rsidR="000706AF" w:rsidRPr="00F125C5">
        <w:rPr>
          <w:rFonts w:ascii="Arial" w:hAnsi="Arial" w:cs="Arial"/>
        </w:rPr>
        <w:t xml:space="preserve"> </w:t>
      </w:r>
      <w:r w:rsidR="000706AF" w:rsidRPr="00F125C5">
        <w:rPr>
          <w:rFonts w:ascii="Arial" w:hAnsi="Arial" w:cs="Arial"/>
          <w:b/>
        </w:rPr>
        <w:t>(i)</w:t>
      </w:r>
      <w:r w:rsidR="000706AF" w:rsidRPr="00F125C5">
        <w:rPr>
          <w:rFonts w:ascii="Arial" w:hAnsi="Arial" w:cs="Arial"/>
        </w:rPr>
        <w:t xml:space="preserve"> reduzir as barreiras à entrada no mercado de revenda (pela ausência de uma restrição destinada </w:t>
      </w:r>
      <w:r w:rsidR="00825057" w:rsidRPr="00F125C5">
        <w:rPr>
          <w:rFonts w:ascii="Arial" w:hAnsi="Arial" w:cs="Arial"/>
        </w:rPr>
        <w:t>à</w:t>
      </w:r>
      <w:r w:rsidR="000706AF" w:rsidRPr="00F125C5">
        <w:rPr>
          <w:rFonts w:ascii="Arial" w:hAnsi="Arial" w:cs="Arial"/>
        </w:rPr>
        <w:t xml:space="preserve"> categoria dos distribuidores para o segmento revenda); </w:t>
      </w:r>
      <w:r w:rsidR="000706AF" w:rsidRPr="00F125C5">
        <w:rPr>
          <w:rFonts w:ascii="Arial" w:hAnsi="Arial" w:cs="Arial"/>
          <w:b/>
        </w:rPr>
        <w:t>(</w:t>
      </w:r>
      <w:proofErr w:type="spellStart"/>
      <w:r w:rsidR="000706AF" w:rsidRPr="00F125C5">
        <w:rPr>
          <w:rFonts w:ascii="Arial" w:hAnsi="Arial" w:cs="Arial"/>
          <w:b/>
        </w:rPr>
        <w:t>ii</w:t>
      </w:r>
      <w:proofErr w:type="spellEnd"/>
      <w:r w:rsidR="000706AF" w:rsidRPr="00F125C5">
        <w:rPr>
          <w:rFonts w:ascii="Arial" w:hAnsi="Arial" w:cs="Arial"/>
          <w:b/>
        </w:rPr>
        <w:t>)</w:t>
      </w:r>
      <w:r w:rsidR="00AD4DCA" w:rsidRPr="00F125C5">
        <w:rPr>
          <w:rFonts w:ascii="Arial" w:hAnsi="Arial" w:cs="Arial"/>
          <w:b/>
        </w:rPr>
        <w:t xml:space="preserve"> </w:t>
      </w:r>
      <w:r w:rsidR="00AD4DCA" w:rsidRPr="00F125C5">
        <w:rPr>
          <w:rFonts w:ascii="Arial" w:hAnsi="Arial" w:cs="Arial"/>
        </w:rPr>
        <w:t xml:space="preserve">reduzir o duplo </w:t>
      </w:r>
      <w:proofErr w:type="spellStart"/>
      <w:r w:rsidR="00AD4DCA" w:rsidRPr="00F125C5">
        <w:rPr>
          <w:rFonts w:ascii="Arial" w:hAnsi="Arial" w:cs="Arial"/>
          <w:i/>
        </w:rPr>
        <w:t>mark</w:t>
      </w:r>
      <w:proofErr w:type="spellEnd"/>
      <w:r w:rsidR="00AD4DCA" w:rsidRPr="00F125C5">
        <w:rPr>
          <w:rFonts w:ascii="Arial" w:hAnsi="Arial" w:cs="Arial"/>
          <w:i/>
        </w:rPr>
        <w:t xml:space="preserve"> </w:t>
      </w:r>
      <w:proofErr w:type="spellStart"/>
      <w:r w:rsidR="00AD4DCA" w:rsidRPr="00F125C5">
        <w:rPr>
          <w:rFonts w:ascii="Arial" w:hAnsi="Arial" w:cs="Arial"/>
          <w:i/>
        </w:rPr>
        <w:t>up</w:t>
      </w:r>
      <w:proofErr w:type="spellEnd"/>
      <w:r w:rsidR="00AD4DCA" w:rsidRPr="00F125C5">
        <w:rPr>
          <w:rFonts w:ascii="Arial" w:hAnsi="Arial" w:cs="Arial"/>
        </w:rPr>
        <w:t xml:space="preserve"> </w:t>
      </w:r>
      <w:r w:rsidR="003C0053" w:rsidRPr="00F125C5">
        <w:rPr>
          <w:rFonts w:ascii="Arial" w:hAnsi="Arial" w:cs="Arial"/>
        </w:rPr>
        <w:t xml:space="preserve">(dupla margem) </w:t>
      </w:r>
      <w:r w:rsidR="00AD4DCA" w:rsidRPr="00F125C5">
        <w:rPr>
          <w:rFonts w:ascii="Arial" w:hAnsi="Arial" w:cs="Arial"/>
        </w:rPr>
        <w:t>e consequente aumento na demanda pelo produto</w:t>
      </w:r>
      <w:r w:rsidR="00871284" w:rsidRPr="00F125C5">
        <w:rPr>
          <w:rFonts w:ascii="Arial" w:hAnsi="Arial" w:cs="Arial"/>
        </w:rPr>
        <w:t xml:space="preserve">; além de, </w:t>
      </w:r>
      <w:r w:rsidR="00362A93" w:rsidRPr="00F125C5">
        <w:rPr>
          <w:rFonts w:ascii="Arial" w:hAnsi="Arial" w:cs="Arial"/>
        </w:rPr>
        <w:t xml:space="preserve">como já apontando no início dessa Seção, a verticalização </w:t>
      </w:r>
      <w:r w:rsidR="003B5224" w:rsidRPr="00F125C5">
        <w:rPr>
          <w:rFonts w:ascii="Arial" w:hAnsi="Arial" w:cs="Arial"/>
        </w:rPr>
        <w:t>também</w:t>
      </w:r>
      <w:r w:rsidR="00B74D02" w:rsidRPr="00F125C5">
        <w:rPr>
          <w:rFonts w:ascii="Arial" w:hAnsi="Arial" w:cs="Arial"/>
        </w:rPr>
        <w:t xml:space="preserve"> pode</w:t>
      </w:r>
      <w:r w:rsidR="00871284" w:rsidRPr="00F125C5">
        <w:rPr>
          <w:rFonts w:ascii="Arial" w:hAnsi="Arial" w:cs="Arial"/>
        </w:rPr>
        <w:t>r</w:t>
      </w:r>
      <w:r w:rsidR="003B5224" w:rsidRPr="00F125C5">
        <w:rPr>
          <w:rFonts w:ascii="Arial" w:hAnsi="Arial" w:cs="Arial"/>
        </w:rPr>
        <w:t xml:space="preserve"> </w:t>
      </w:r>
      <w:r w:rsidR="003B5224" w:rsidRPr="00F125C5">
        <w:rPr>
          <w:rFonts w:ascii="Arial" w:hAnsi="Arial" w:cs="Arial"/>
          <w:b/>
        </w:rPr>
        <w:t>(</w:t>
      </w:r>
      <w:proofErr w:type="spellStart"/>
      <w:r w:rsidR="003B5224" w:rsidRPr="00F125C5">
        <w:rPr>
          <w:rFonts w:ascii="Arial" w:hAnsi="Arial" w:cs="Arial"/>
          <w:b/>
        </w:rPr>
        <w:t>iv</w:t>
      </w:r>
      <w:proofErr w:type="spellEnd"/>
      <w:r w:rsidR="003B5224" w:rsidRPr="00F125C5">
        <w:rPr>
          <w:rFonts w:ascii="Arial" w:hAnsi="Arial" w:cs="Arial"/>
          <w:b/>
        </w:rPr>
        <w:t>)</w:t>
      </w:r>
      <w:r w:rsidR="003B5224" w:rsidRPr="00F125C5">
        <w:rPr>
          <w:rFonts w:ascii="Arial" w:hAnsi="Arial" w:cs="Arial"/>
        </w:rPr>
        <w:t xml:space="preserve"> </w:t>
      </w:r>
      <w:r w:rsidR="00362A93" w:rsidRPr="00F125C5">
        <w:rPr>
          <w:rFonts w:ascii="Arial" w:hAnsi="Arial" w:cs="Arial"/>
        </w:rPr>
        <w:t>reduz</w:t>
      </w:r>
      <w:r w:rsidR="00B74D02" w:rsidRPr="00F125C5">
        <w:rPr>
          <w:rFonts w:ascii="Arial" w:hAnsi="Arial" w:cs="Arial"/>
        </w:rPr>
        <w:t>ir</w:t>
      </w:r>
      <w:r w:rsidR="00362A93" w:rsidRPr="00F125C5">
        <w:rPr>
          <w:rFonts w:ascii="Arial" w:hAnsi="Arial" w:cs="Arial"/>
        </w:rPr>
        <w:t xml:space="preserve"> custos de transação </w:t>
      </w:r>
      <w:r w:rsidR="003B5224" w:rsidRPr="00F125C5">
        <w:rPr>
          <w:rFonts w:ascii="Arial" w:hAnsi="Arial" w:cs="Arial"/>
        </w:rPr>
        <w:t xml:space="preserve">e </w:t>
      </w:r>
      <w:r w:rsidR="003B5224" w:rsidRPr="00F125C5">
        <w:rPr>
          <w:rFonts w:ascii="Arial" w:hAnsi="Arial" w:cs="Arial"/>
          <w:b/>
        </w:rPr>
        <w:t xml:space="preserve">(v) </w:t>
      </w:r>
      <w:r w:rsidR="003B5224" w:rsidRPr="00F125C5">
        <w:rPr>
          <w:rFonts w:ascii="Arial" w:hAnsi="Arial" w:cs="Arial"/>
        </w:rPr>
        <w:t>evita</w:t>
      </w:r>
      <w:r w:rsidR="00B74D02" w:rsidRPr="00F125C5">
        <w:rPr>
          <w:rFonts w:ascii="Arial" w:hAnsi="Arial" w:cs="Arial"/>
        </w:rPr>
        <w:t>r</w:t>
      </w:r>
      <w:r w:rsidR="003B5224" w:rsidRPr="00F125C5">
        <w:rPr>
          <w:rFonts w:ascii="Arial" w:hAnsi="Arial" w:cs="Arial"/>
        </w:rPr>
        <w:t xml:space="preserve"> o oportunismo entre as partes</w:t>
      </w:r>
      <w:r w:rsidR="00A513E0" w:rsidRPr="00F125C5">
        <w:rPr>
          <w:rFonts w:ascii="Arial" w:hAnsi="Arial" w:cs="Arial"/>
        </w:rPr>
        <w:t>.</w:t>
      </w:r>
    </w:p>
    <w:p w14:paraId="681928B4" w14:textId="00AFD935" w:rsidR="004C0446" w:rsidRPr="00F125C5" w:rsidRDefault="00150827" w:rsidP="00A607E5">
      <w:pPr>
        <w:spacing w:after="0" w:line="360" w:lineRule="auto"/>
        <w:ind w:firstLine="360"/>
        <w:jc w:val="both"/>
        <w:rPr>
          <w:rFonts w:ascii="Arial" w:hAnsi="Arial" w:cs="Arial"/>
        </w:rPr>
      </w:pPr>
      <w:r w:rsidRPr="00F125C5">
        <w:rPr>
          <w:rFonts w:ascii="Arial" w:hAnsi="Arial" w:cs="Arial"/>
        </w:rPr>
        <w:tab/>
      </w:r>
      <w:r w:rsidR="00F408E1" w:rsidRPr="00F125C5">
        <w:rPr>
          <w:rFonts w:ascii="Arial" w:hAnsi="Arial" w:cs="Arial"/>
        </w:rPr>
        <w:t>Analisando o mercado brasileiro de combustíveis, u</w:t>
      </w:r>
      <w:r w:rsidR="004C0446" w:rsidRPr="00F125C5">
        <w:rPr>
          <w:rFonts w:ascii="Arial" w:hAnsi="Arial" w:cs="Arial"/>
        </w:rPr>
        <w:t xml:space="preserve">m efeito potencial </w:t>
      </w:r>
      <w:r w:rsidR="00F408E1" w:rsidRPr="00F125C5">
        <w:rPr>
          <w:rFonts w:ascii="Arial" w:hAnsi="Arial" w:cs="Arial"/>
        </w:rPr>
        <w:t>desejado</w:t>
      </w:r>
      <w:r w:rsidR="006C1017" w:rsidRPr="00F125C5">
        <w:rPr>
          <w:rFonts w:ascii="Arial" w:hAnsi="Arial" w:cs="Arial"/>
        </w:rPr>
        <w:t xml:space="preserve"> </w:t>
      </w:r>
      <w:r w:rsidR="004C0446" w:rsidRPr="00F125C5">
        <w:rPr>
          <w:rFonts w:ascii="Arial" w:hAnsi="Arial" w:cs="Arial"/>
        </w:rPr>
        <w:t xml:space="preserve">com a </w:t>
      </w:r>
      <w:r w:rsidR="00AC3F08" w:rsidRPr="00F125C5">
        <w:rPr>
          <w:rFonts w:ascii="Arial" w:hAnsi="Arial" w:cs="Arial"/>
        </w:rPr>
        <w:t xml:space="preserve">integração vertical </w:t>
      </w:r>
      <w:r w:rsidR="00F408E1" w:rsidRPr="00F125C5">
        <w:rPr>
          <w:rFonts w:ascii="Arial" w:hAnsi="Arial" w:cs="Arial"/>
        </w:rPr>
        <w:t>seria</w:t>
      </w:r>
      <w:r w:rsidR="00AC3F08" w:rsidRPr="00F125C5">
        <w:rPr>
          <w:rFonts w:ascii="Arial" w:hAnsi="Arial" w:cs="Arial"/>
        </w:rPr>
        <w:t xml:space="preserve"> a eliminação, ou </w:t>
      </w:r>
      <w:r w:rsidR="00F408E1" w:rsidRPr="00F125C5">
        <w:rPr>
          <w:rFonts w:ascii="Arial" w:hAnsi="Arial" w:cs="Arial"/>
        </w:rPr>
        <w:t xml:space="preserve">ao menos a </w:t>
      </w:r>
      <w:r w:rsidR="00AC3F08" w:rsidRPr="00F125C5">
        <w:rPr>
          <w:rFonts w:ascii="Arial" w:hAnsi="Arial" w:cs="Arial"/>
        </w:rPr>
        <w:t xml:space="preserve">redução, do duplo </w:t>
      </w:r>
      <w:proofErr w:type="spellStart"/>
      <w:r w:rsidR="00AC3F08" w:rsidRPr="00F125C5">
        <w:rPr>
          <w:rFonts w:ascii="Arial" w:hAnsi="Arial" w:cs="Arial"/>
          <w:i/>
        </w:rPr>
        <w:t>mark</w:t>
      </w:r>
      <w:proofErr w:type="spellEnd"/>
      <w:r w:rsidR="00AC3F08" w:rsidRPr="00F125C5">
        <w:rPr>
          <w:rFonts w:ascii="Arial" w:hAnsi="Arial" w:cs="Arial"/>
          <w:i/>
        </w:rPr>
        <w:t xml:space="preserve"> </w:t>
      </w:r>
      <w:proofErr w:type="spellStart"/>
      <w:r w:rsidR="00AC3F08" w:rsidRPr="00F125C5">
        <w:rPr>
          <w:rFonts w:ascii="Arial" w:hAnsi="Arial" w:cs="Arial"/>
          <w:i/>
        </w:rPr>
        <w:t>up</w:t>
      </w:r>
      <w:proofErr w:type="spellEnd"/>
      <w:r w:rsidR="00AC3F08" w:rsidRPr="00F125C5">
        <w:rPr>
          <w:rFonts w:ascii="Arial" w:hAnsi="Arial" w:cs="Arial"/>
          <w:i/>
        </w:rPr>
        <w:t xml:space="preserve"> </w:t>
      </w:r>
      <w:r w:rsidR="00AC3F08" w:rsidRPr="00F125C5">
        <w:rPr>
          <w:rFonts w:ascii="Arial" w:hAnsi="Arial" w:cs="Arial"/>
        </w:rPr>
        <w:t xml:space="preserve">que </w:t>
      </w:r>
      <w:r w:rsidR="00F408E1" w:rsidRPr="00F125C5">
        <w:rPr>
          <w:rFonts w:ascii="Arial" w:hAnsi="Arial" w:cs="Arial"/>
        </w:rPr>
        <w:t xml:space="preserve">hoje afeta </w:t>
      </w:r>
      <w:r w:rsidR="00AC3F08" w:rsidRPr="00F125C5">
        <w:rPr>
          <w:rFonts w:ascii="Arial" w:hAnsi="Arial" w:cs="Arial"/>
        </w:rPr>
        <w:t>o preço final dos combustíveis</w:t>
      </w:r>
      <w:r w:rsidR="00041719" w:rsidRPr="00F125C5">
        <w:rPr>
          <w:rFonts w:ascii="Arial" w:hAnsi="Arial" w:cs="Arial"/>
        </w:rPr>
        <w:t xml:space="preserve">, tendo em vista que a verticalização diz respeito justamente à concentração, em uma empresa, de duas etapas de uma mesma cadeia de valor. </w:t>
      </w:r>
      <w:r w:rsidR="000B20CD" w:rsidRPr="00F125C5">
        <w:rPr>
          <w:rFonts w:ascii="Arial" w:hAnsi="Arial" w:cs="Arial"/>
        </w:rPr>
        <w:t>Esse foi</w:t>
      </w:r>
      <w:r w:rsidR="00B74D02" w:rsidRPr="00F125C5">
        <w:rPr>
          <w:rFonts w:ascii="Arial" w:hAnsi="Arial" w:cs="Arial"/>
        </w:rPr>
        <w:t>,</w:t>
      </w:r>
      <w:r w:rsidR="000B20CD" w:rsidRPr="00F125C5">
        <w:rPr>
          <w:rFonts w:ascii="Arial" w:hAnsi="Arial" w:cs="Arial"/>
        </w:rPr>
        <w:t xml:space="preserve"> inclusive, o principal argumento apontado pelo </w:t>
      </w:r>
      <w:proofErr w:type="spellStart"/>
      <w:r w:rsidR="000B20CD" w:rsidRPr="00F125C5">
        <w:rPr>
          <w:rFonts w:ascii="Arial" w:hAnsi="Arial" w:cs="Arial"/>
        </w:rPr>
        <w:t>Cade</w:t>
      </w:r>
      <w:proofErr w:type="spellEnd"/>
      <w:r w:rsidR="000B20CD" w:rsidRPr="00F125C5">
        <w:rPr>
          <w:rFonts w:ascii="Arial" w:hAnsi="Arial" w:cs="Arial"/>
        </w:rPr>
        <w:t xml:space="preserve"> para </w:t>
      </w:r>
      <w:r w:rsidR="001062B3" w:rsidRPr="00F125C5">
        <w:rPr>
          <w:rFonts w:ascii="Arial" w:hAnsi="Arial" w:cs="Arial"/>
        </w:rPr>
        <w:t>suscitar</w:t>
      </w:r>
      <w:r w:rsidR="000B20CD" w:rsidRPr="00F125C5">
        <w:rPr>
          <w:rFonts w:ascii="Arial" w:hAnsi="Arial" w:cs="Arial"/>
        </w:rPr>
        <w:t xml:space="preserve"> o debate sobre a verticalização em seu documento sobre medidas para estimular a competição no setor de combustíveis.</w:t>
      </w:r>
      <w:r w:rsidR="00603EE4" w:rsidRPr="00F125C5">
        <w:rPr>
          <w:rStyle w:val="Refdenotaderodap"/>
          <w:rFonts w:ascii="Arial" w:hAnsi="Arial" w:cs="Arial"/>
        </w:rPr>
        <w:footnoteReference w:id="32"/>
      </w:r>
      <w:r w:rsidR="000B20CD" w:rsidRPr="00F125C5">
        <w:rPr>
          <w:rFonts w:ascii="Arial" w:hAnsi="Arial" w:cs="Arial"/>
        </w:rPr>
        <w:t xml:space="preserve"> </w:t>
      </w:r>
    </w:p>
    <w:p w14:paraId="476A273D" w14:textId="4C63B18C" w:rsidR="000C4610" w:rsidRPr="00F125C5" w:rsidRDefault="000C4610" w:rsidP="005573AA">
      <w:pPr>
        <w:spacing w:after="0" w:line="360" w:lineRule="auto"/>
        <w:ind w:firstLine="708"/>
        <w:jc w:val="both"/>
        <w:rPr>
          <w:rFonts w:ascii="Arial" w:hAnsi="Arial" w:cs="Arial"/>
        </w:rPr>
      </w:pPr>
      <w:r w:rsidRPr="00F125C5">
        <w:rPr>
          <w:rFonts w:ascii="Arial" w:hAnsi="Arial" w:cs="Arial"/>
        </w:rPr>
        <w:t xml:space="preserve">A verticalização também </w:t>
      </w:r>
      <w:r w:rsidR="00F408E1" w:rsidRPr="00F125C5">
        <w:rPr>
          <w:rFonts w:ascii="Arial" w:hAnsi="Arial" w:cs="Arial"/>
        </w:rPr>
        <w:t xml:space="preserve">poderia eventualmente </w:t>
      </w:r>
      <w:r w:rsidRPr="00F125C5">
        <w:rPr>
          <w:rFonts w:ascii="Arial" w:hAnsi="Arial" w:cs="Arial"/>
        </w:rPr>
        <w:t xml:space="preserve">reduzir os custos de transação anteriormente existentes na relação comercial estabelecida entre </w:t>
      </w:r>
      <w:r w:rsidR="003561C9" w:rsidRPr="00F125C5">
        <w:rPr>
          <w:rFonts w:ascii="Arial" w:hAnsi="Arial" w:cs="Arial"/>
        </w:rPr>
        <w:t xml:space="preserve">o distribuidor e </w:t>
      </w:r>
      <w:r w:rsidR="003561C9" w:rsidRPr="00F125C5">
        <w:rPr>
          <w:rFonts w:ascii="Arial" w:hAnsi="Arial" w:cs="Arial"/>
        </w:rPr>
        <w:lastRenderedPageBreak/>
        <w:t xml:space="preserve">revendedor, </w:t>
      </w:r>
      <w:r w:rsidR="00B74D02" w:rsidRPr="00F125C5">
        <w:rPr>
          <w:rFonts w:ascii="Arial" w:hAnsi="Arial" w:cs="Arial"/>
        </w:rPr>
        <w:t>uma vez</w:t>
      </w:r>
      <w:r w:rsidR="003561C9" w:rsidRPr="00F125C5">
        <w:rPr>
          <w:rFonts w:ascii="Arial" w:hAnsi="Arial" w:cs="Arial"/>
        </w:rPr>
        <w:t xml:space="preserve"> que o desenvolvimento dessas atividades passaria a ser desempenhada por um único agente. </w:t>
      </w:r>
    </w:p>
    <w:p w14:paraId="0B5BD89A" w14:textId="5FA2A4C9" w:rsidR="008355C1" w:rsidRPr="00F125C5" w:rsidRDefault="003561C9" w:rsidP="005573AA">
      <w:pPr>
        <w:spacing w:after="0" w:line="360" w:lineRule="auto"/>
        <w:ind w:firstLine="708"/>
        <w:jc w:val="both"/>
        <w:rPr>
          <w:rFonts w:ascii="Arial" w:hAnsi="Arial" w:cs="Arial"/>
        </w:rPr>
      </w:pPr>
      <w:r w:rsidRPr="00F125C5">
        <w:rPr>
          <w:rFonts w:ascii="Arial" w:hAnsi="Arial" w:cs="Arial"/>
        </w:rPr>
        <w:t xml:space="preserve">Por fim, a verticalização </w:t>
      </w:r>
      <w:r w:rsidR="00F408E1" w:rsidRPr="00F125C5">
        <w:rPr>
          <w:rFonts w:ascii="Arial" w:hAnsi="Arial" w:cs="Arial"/>
        </w:rPr>
        <w:t xml:space="preserve">poderia </w:t>
      </w:r>
      <w:r w:rsidR="00A43CD4" w:rsidRPr="00F125C5">
        <w:rPr>
          <w:rFonts w:ascii="Arial" w:hAnsi="Arial" w:cs="Arial"/>
        </w:rPr>
        <w:t>garant</w:t>
      </w:r>
      <w:r w:rsidR="00F408E1" w:rsidRPr="00F125C5">
        <w:rPr>
          <w:rFonts w:ascii="Arial" w:hAnsi="Arial" w:cs="Arial"/>
        </w:rPr>
        <w:t>ir</w:t>
      </w:r>
      <w:r w:rsidR="00A43CD4" w:rsidRPr="00F125C5">
        <w:rPr>
          <w:rFonts w:ascii="Arial" w:hAnsi="Arial" w:cs="Arial"/>
        </w:rPr>
        <w:t xml:space="preserve"> que a demanda ou oferta do produto não será afetada pelo comportamento oportunista de revendedores e outros distribuidores.</w:t>
      </w:r>
      <w:r w:rsidRPr="00F125C5">
        <w:rPr>
          <w:rFonts w:ascii="Arial" w:hAnsi="Arial" w:cs="Arial"/>
        </w:rPr>
        <w:t xml:space="preserve"> </w:t>
      </w:r>
      <w:r w:rsidR="007550D6" w:rsidRPr="00F125C5">
        <w:rPr>
          <w:rFonts w:ascii="Arial" w:hAnsi="Arial" w:cs="Arial"/>
        </w:rPr>
        <w:t>Esse ponto torna-se ainda mais relevante frente ao elevado risco de comportamentos oportunistas no setor, dada a facilidade de adulteração de combustíveis, de burla aos arranjos de exclusividade e da estrutura tributária hoje vigente.</w:t>
      </w:r>
      <w:r w:rsidR="00B74D02" w:rsidRPr="00F125C5">
        <w:rPr>
          <w:rFonts w:ascii="Arial" w:hAnsi="Arial" w:cs="Arial"/>
        </w:rPr>
        <w:t xml:space="preserve"> Um exemplo pertinente seria o do revendedor que diz que está vendendo combustível de determinada marca, quando, na realidade, ele está vendendo combustível de outra marca, de menor qualidade e mais barata. A verticalização reduziria os riscos desse tipo de comportamento, uma vez que a própria distribuidora controlaria seus postos revendedores. </w:t>
      </w:r>
    </w:p>
    <w:p w14:paraId="2747A3A5" w14:textId="6A7548E9" w:rsidR="007671AB" w:rsidRPr="00F125C5" w:rsidRDefault="00150827" w:rsidP="001D5335">
      <w:pPr>
        <w:spacing w:after="0" w:line="360" w:lineRule="auto"/>
        <w:ind w:firstLine="708"/>
        <w:jc w:val="both"/>
        <w:rPr>
          <w:rFonts w:ascii="Arial" w:hAnsi="Arial" w:cs="Arial"/>
        </w:rPr>
      </w:pPr>
      <w:r w:rsidRPr="00F125C5">
        <w:rPr>
          <w:rFonts w:ascii="Arial" w:hAnsi="Arial" w:cs="Arial"/>
        </w:rPr>
        <w:t>Parece evidente, portanto,</w:t>
      </w:r>
      <w:r w:rsidR="008355C1" w:rsidRPr="00F125C5">
        <w:rPr>
          <w:rFonts w:ascii="Arial" w:hAnsi="Arial" w:cs="Arial"/>
        </w:rPr>
        <w:t xml:space="preserve"> que os efeitos da verticalização são complexos</w:t>
      </w:r>
      <w:r w:rsidR="00F408E1" w:rsidRPr="00F125C5">
        <w:rPr>
          <w:rFonts w:ascii="Arial" w:hAnsi="Arial" w:cs="Arial"/>
        </w:rPr>
        <w:t>, apresentando elementos positivos e negativos</w:t>
      </w:r>
      <w:r w:rsidR="008355C1" w:rsidRPr="00F125C5">
        <w:rPr>
          <w:rFonts w:ascii="Arial" w:hAnsi="Arial" w:cs="Arial"/>
        </w:rPr>
        <w:t>.</w:t>
      </w:r>
      <w:r w:rsidRPr="00F125C5">
        <w:rPr>
          <w:rFonts w:ascii="Arial" w:hAnsi="Arial" w:cs="Arial"/>
        </w:rPr>
        <w:t xml:space="preserve"> </w:t>
      </w:r>
      <w:r w:rsidR="00682BC6" w:rsidRPr="00F125C5">
        <w:rPr>
          <w:rFonts w:ascii="Arial" w:hAnsi="Arial" w:cs="Arial"/>
        </w:rPr>
        <w:t>C</w:t>
      </w:r>
      <w:r w:rsidR="007671AB" w:rsidRPr="00F125C5">
        <w:rPr>
          <w:rFonts w:ascii="Arial" w:hAnsi="Arial" w:cs="Arial"/>
        </w:rPr>
        <w:t>om efeito, a avaliação de custos e benefícios depende da apresentação de uma proposta de medida regulatória concreta, que possibilite um diagnóstico sobre (i) os impactos na concorrência</w:t>
      </w:r>
      <w:r w:rsidR="005F4278" w:rsidRPr="00F125C5">
        <w:rPr>
          <w:rFonts w:ascii="Arial" w:hAnsi="Arial" w:cs="Arial"/>
        </w:rPr>
        <w:t xml:space="preserve"> a partir da permissão da verticalização</w:t>
      </w:r>
      <w:r w:rsidR="007671AB" w:rsidRPr="00F125C5">
        <w:rPr>
          <w:rFonts w:ascii="Arial" w:hAnsi="Arial" w:cs="Arial"/>
        </w:rPr>
        <w:t>; (</w:t>
      </w:r>
      <w:proofErr w:type="spellStart"/>
      <w:r w:rsidR="007671AB" w:rsidRPr="00F125C5">
        <w:rPr>
          <w:rFonts w:ascii="Arial" w:hAnsi="Arial" w:cs="Arial"/>
        </w:rPr>
        <w:t>ii</w:t>
      </w:r>
      <w:proofErr w:type="spellEnd"/>
      <w:r w:rsidR="007671AB" w:rsidRPr="00F125C5">
        <w:rPr>
          <w:rFonts w:ascii="Arial" w:hAnsi="Arial" w:cs="Arial"/>
        </w:rPr>
        <w:t xml:space="preserve">) de que forma a medida </w:t>
      </w:r>
      <w:r w:rsidR="005F4278" w:rsidRPr="00F125C5">
        <w:rPr>
          <w:rFonts w:ascii="Arial" w:hAnsi="Arial" w:cs="Arial"/>
        </w:rPr>
        <w:t>seria mais benéfica que o modelo atual existente</w:t>
      </w:r>
      <w:r w:rsidR="007671AB" w:rsidRPr="00F125C5">
        <w:rPr>
          <w:rFonts w:ascii="Arial" w:hAnsi="Arial" w:cs="Arial"/>
        </w:rPr>
        <w:t>; e (</w:t>
      </w:r>
      <w:proofErr w:type="spellStart"/>
      <w:r w:rsidR="007671AB" w:rsidRPr="00F125C5">
        <w:rPr>
          <w:rFonts w:ascii="Arial" w:hAnsi="Arial" w:cs="Arial"/>
        </w:rPr>
        <w:t>iii</w:t>
      </w:r>
      <w:proofErr w:type="spellEnd"/>
      <w:r w:rsidR="007671AB" w:rsidRPr="00F125C5">
        <w:rPr>
          <w:rFonts w:ascii="Arial" w:hAnsi="Arial" w:cs="Arial"/>
        </w:rPr>
        <w:t xml:space="preserve">) como os consumidores seriam, ao fim e ao cabo, impactados por essa mudança. Além disso, para que se possa realizar uma análise efetiva, é fundamental levar em consideração outras propostas que estão sendo consideradas pela ANP para o setor, que inevitavelmente impactam a análise sobre verticalização. Para ficar em somente um exemplo: a análise sobre impacto regulatório de um eventual fim da vedação à verticalização é distinta se a tutela regulatória da fidelidade à bandeira continua existindo ou não. Em outras palavras, qualquer discussão isolada de mudança regulatória sem que se apresente como essas mudanças compõem uma transformação mais geral do setor está fadada a ser parcial e preliminar. </w:t>
      </w:r>
    </w:p>
    <w:p w14:paraId="26B27855" w14:textId="77777777" w:rsidR="00D513A9" w:rsidRPr="00F125C5" w:rsidRDefault="00D513A9" w:rsidP="005573AA">
      <w:pPr>
        <w:spacing w:after="0" w:line="360" w:lineRule="auto"/>
        <w:jc w:val="both"/>
        <w:rPr>
          <w:rFonts w:ascii="Arial" w:hAnsi="Arial" w:cs="Arial"/>
        </w:rPr>
      </w:pPr>
    </w:p>
    <w:p w14:paraId="095CF881" w14:textId="213B8E2B" w:rsidR="00705256" w:rsidRPr="00F125C5" w:rsidRDefault="003E47DB" w:rsidP="003E47DB">
      <w:pPr>
        <w:tabs>
          <w:tab w:val="left" w:pos="426"/>
        </w:tabs>
        <w:spacing w:after="0" w:line="360" w:lineRule="auto"/>
        <w:jc w:val="both"/>
        <w:rPr>
          <w:rFonts w:ascii="Arial" w:hAnsi="Arial" w:cs="Arial"/>
          <w:b/>
        </w:rPr>
      </w:pPr>
      <w:r w:rsidRPr="00F125C5">
        <w:rPr>
          <w:rFonts w:ascii="Arial" w:hAnsi="Arial" w:cs="Arial"/>
          <w:b/>
        </w:rPr>
        <w:t xml:space="preserve">4. </w:t>
      </w:r>
      <w:r w:rsidR="007671AB" w:rsidRPr="00F125C5">
        <w:rPr>
          <w:rFonts w:ascii="Arial" w:hAnsi="Arial" w:cs="Arial"/>
          <w:b/>
        </w:rPr>
        <w:t>ESTRATÉGIAS REGULATÓRIAS DIRECIONADAS À VERTICALIZAÇÃO</w:t>
      </w:r>
      <w:r w:rsidR="00705256" w:rsidRPr="00F125C5">
        <w:rPr>
          <w:rFonts w:ascii="Arial" w:hAnsi="Arial" w:cs="Arial"/>
          <w:b/>
        </w:rPr>
        <w:t xml:space="preserve"> E IMPACTOS POSSÍVEIS DA MUDANÇA DE REGIME</w:t>
      </w:r>
      <w:r w:rsidR="00856D50" w:rsidRPr="00F125C5">
        <w:rPr>
          <w:rFonts w:ascii="Arial" w:hAnsi="Arial" w:cs="Arial"/>
          <w:b/>
        </w:rPr>
        <w:t xml:space="preserve"> NO BRASIL</w:t>
      </w:r>
    </w:p>
    <w:p w14:paraId="04C9D3FA" w14:textId="77777777" w:rsidR="00F125C5" w:rsidRPr="00F125C5" w:rsidRDefault="00F125C5" w:rsidP="003E47DB">
      <w:pPr>
        <w:tabs>
          <w:tab w:val="left" w:pos="426"/>
        </w:tabs>
        <w:spacing w:after="0" w:line="360" w:lineRule="auto"/>
        <w:jc w:val="both"/>
        <w:rPr>
          <w:rFonts w:ascii="Arial" w:hAnsi="Arial" w:cs="Arial"/>
          <w:b/>
        </w:rPr>
      </w:pPr>
    </w:p>
    <w:p w14:paraId="35417A14" w14:textId="752C69D8" w:rsidR="00E61137" w:rsidRPr="00F125C5" w:rsidRDefault="00705256" w:rsidP="00A607E5">
      <w:pPr>
        <w:pStyle w:val="PargrafodaLista"/>
        <w:tabs>
          <w:tab w:val="left" w:pos="426"/>
        </w:tabs>
        <w:spacing w:after="0" w:line="360" w:lineRule="auto"/>
        <w:ind w:left="0"/>
        <w:jc w:val="both"/>
        <w:rPr>
          <w:rFonts w:ascii="Arial" w:hAnsi="Arial" w:cs="Arial"/>
        </w:rPr>
      </w:pPr>
      <w:r w:rsidRPr="00F125C5">
        <w:rPr>
          <w:rFonts w:ascii="Arial" w:hAnsi="Arial" w:cs="Arial"/>
          <w:b/>
        </w:rPr>
        <w:t xml:space="preserve"> </w:t>
      </w:r>
      <w:r w:rsidR="00CF12EE" w:rsidRPr="00F125C5">
        <w:rPr>
          <w:rFonts w:ascii="Arial" w:hAnsi="Arial" w:cs="Arial"/>
        </w:rPr>
        <w:tab/>
      </w:r>
      <w:r w:rsidR="00CA5FCA" w:rsidRPr="00F125C5">
        <w:rPr>
          <w:rFonts w:ascii="Arial" w:hAnsi="Arial" w:cs="Arial"/>
        </w:rPr>
        <w:tab/>
      </w:r>
      <w:r w:rsidR="00F5796F" w:rsidRPr="00F125C5">
        <w:rPr>
          <w:rFonts w:ascii="Arial" w:hAnsi="Arial" w:cs="Arial"/>
        </w:rPr>
        <w:t>Levando em consideração os</w:t>
      </w:r>
      <w:r w:rsidR="002B7CC0" w:rsidRPr="00F125C5">
        <w:rPr>
          <w:rFonts w:ascii="Arial" w:hAnsi="Arial" w:cs="Arial"/>
        </w:rPr>
        <w:t xml:space="preserve"> riscos e eficiências envolvidos com </w:t>
      </w:r>
      <w:r w:rsidR="00F5796F" w:rsidRPr="00F125C5">
        <w:rPr>
          <w:rFonts w:ascii="Arial" w:hAnsi="Arial" w:cs="Arial"/>
        </w:rPr>
        <w:t xml:space="preserve">a </w:t>
      </w:r>
      <w:r w:rsidR="00E61137" w:rsidRPr="00F125C5">
        <w:rPr>
          <w:rFonts w:ascii="Arial" w:hAnsi="Arial" w:cs="Arial"/>
        </w:rPr>
        <w:t>eventual</w:t>
      </w:r>
      <w:r w:rsidR="002B7CC0" w:rsidRPr="00F125C5">
        <w:rPr>
          <w:rFonts w:ascii="Arial" w:hAnsi="Arial" w:cs="Arial"/>
        </w:rPr>
        <w:t xml:space="preserve"> verticalização da distribuição </w:t>
      </w:r>
      <w:r w:rsidR="006C1017" w:rsidRPr="00F125C5">
        <w:rPr>
          <w:rFonts w:ascii="Arial" w:hAnsi="Arial" w:cs="Arial"/>
        </w:rPr>
        <w:t xml:space="preserve">e </w:t>
      </w:r>
      <w:r w:rsidR="006F33EC" w:rsidRPr="00F125C5">
        <w:rPr>
          <w:rFonts w:ascii="Arial" w:hAnsi="Arial" w:cs="Arial"/>
        </w:rPr>
        <w:t>d</w:t>
      </w:r>
      <w:r w:rsidR="002B7CC0" w:rsidRPr="00F125C5">
        <w:rPr>
          <w:rFonts w:ascii="Arial" w:hAnsi="Arial" w:cs="Arial"/>
        </w:rPr>
        <w:t xml:space="preserve">a revenda, </w:t>
      </w:r>
      <w:r w:rsidR="003A503D" w:rsidRPr="00F125C5">
        <w:rPr>
          <w:rFonts w:ascii="Arial" w:hAnsi="Arial" w:cs="Arial"/>
        </w:rPr>
        <w:t xml:space="preserve">é possível verificar a existência de inúmeros modelos de regulação. </w:t>
      </w:r>
    </w:p>
    <w:p w14:paraId="54D5359F" w14:textId="24BAB105" w:rsidR="00F33CF0" w:rsidRPr="00F125C5" w:rsidRDefault="006A6935" w:rsidP="005573AA">
      <w:pPr>
        <w:spacing w:after="0" w:line="360" w:lineRule="auto"/>
        <w:ind w:firstLine="708"/>
        <w:jc w:val="both"/>
        <w:rPr>
          <w:rFonts w:ascii="Arial" w:hAnsi="Arial" w:cs="Arial"/>
        </w:rPr>
      </w:pPr>
      <w:r w:rsidRPr="00F125C5">
        <w:rPr>
          <w:rFonts w:ascii="Arial" w:hAnsi="Arial" w:cs="Arial"/>
        </w:rPr>
        <w:t xml:space="preserve">As propostas de cada país para o relacionamento vertical </w:t>
      </w:r>
      <w:r w:rsidR="00C44978" w:rsidRPr="00F125C5">
        <w:rPr>
          <w:rFonts w:ascii="Arial" w:hAnsi="Arial" w:cs="Arial"/>
        </w:rPr>
        <w:t xml:space="preserve">no mercado de combustíveis são muito diferentes, variando desde </w:t>
      </w:r>
      <w:r w:rsidR="00E0210C" w:rsidRPr="00F125C5">
        <w:rPr>
          <w:rFonts w:ascii="Arial" w:hAnsi="Arial" w:cs="Arial"/>
        </w:rPr>
        <w:t xml:space="preserve">situações </w:t>
      </w:r>
      <w:r w:rsidR="00D33498" w:rsidRPr="00F125C5">
        <w:rPr>
          <w:rFonts w:ascii="Arial" w:hAnsi="Arial" w:cs="Arial"/>
        </w:rPr>
        <w:t xml:space="preserve">em que </w:t>
      </w:r>
      <w:r w:rsidR="00CA01BE" w:rsidRPr="00F125C5">
        <w:rPr>
          <w:rFonts w:ascii="Arial" w:hAnsi="Arial" w:cs="Arial"/>
        </w:rPr>
        <w:t xml:space="preserve">há limitação ao número </w:t>
      </w:r>
      <w:r w:rsidR="00140670" w:rsidRPr="00F125C5">
        <w:rPr>
          <w:rFonts w:ascii="Arial" w:hAnsi="Arial" w:cs="Arial"/>
        </w:rPr>
        <w:t xml:space="preserve">ou proporção de postos revendedores que podem ser de posse de atores </w:t>
      </w:r>
      <w:r w:rsidR="00140670" w:rsidRPr="00F125C5">
        <w:rPr>
          <w:rFonts w:ascii="Arial" w:hAnsi="Arial" w:cs="Arial"/>
        </w:rPr>
        <w:lastRenderedPageBreak/>
        <w:t>atualmente em elos anteriores (c</w:t>
      </w:r>
      <w:r w:rsidR="0084094F" w:rsidRPr="00F125C5">
        <w:rPr>
          <w:rFonts w:ascii="Arial" w:hAnsi="Arial" w:cs="Arial"/>
        </w:rPr>
        <w:t xml:space="preserve">omo na Turquia e na Argentina) </w:t>
      </w:r>
      <w:r w:rsidR="00140670" w:rsidRPr="00F125C5">
        <w:rPr>
          <w:rFonts w:ascii="Arial" w:hAnsi="Arial" w:cs="Arial"/>
        </w:rPr>
        <w:t xml:space="preserve">até países </w:t>
      </w:r>
      <w:r w:rsidR="0089484E" w:rsidRPr="00F125C5">
        <w:rPr>
          <w:rFonts w:ascii="Arial" w:hAnsi="Arial" w:cs="Arial"/>
        </w:rPr>
        <w:t xml:space="preserve">em que grande parte dos postos revendedores </w:t>
      </w:r>
      <w:r w:rsidR="009135F2" w:rsidRPr="00F125C5">
        <w:rPr>
          <w:rFonts w:ascii="Arial" w:hAnsi="Arial" w:cs="Arial"/>
        </w:rPr>
        <w:t>foram</w:t>
      </w:r>
      <w:r w:rsidR="0089484E" w:rsidRPr="00F125C5">
        <w:rPr>
          <w:rFonts w:ascii="Arial" w:hAnsi="Arial" w:cs="Arial"/>
        </w:rPr>
        <w:t xml:space="preserve"> contratual e verticalmente integrados com outros elos, em especial o do refino (como em Portugal e </w:t>
      </w:r>
      <w:r w:rsidR="00FE20BF" w:rsidRPr="00F125C5">
        <w:rPr>
          <w:rFonts w:ascii="Arial" w:hAnsi="Arial" w:cs="Arial"/>
        </w:rPr>
        <w:t>na Itália)</w:t>
      </w:r>
      <w:r w:rsidR="00BF17C6" w:rsidRPr="00F125C5">
        <w:rPr>
          <w:rFonts w:ascii="Arial" w:hAnsi="Arial" w:cs="Arial"/>
        </w:rPr>
        <w:t>.</w:t>
      </w:r>
      <w:r w:rsidR="00BF17C6" w:rsidRPr="00F125C5">
        <w:rPr>
          <w:rStyle w:val="Refdenotaderodap"/>
          <w:rFonts w:ascii="Arial" w:hAnsi="Arial" w:cs="Arial"/>
        </w:rPr>
        <w:footnoteReference w:id="33"/>
      </w:r>
      <w:r w:rsidR="009469BB" w:rsidRPr="00F125C5">
        <w:rPr>
          <w:rFonts w:ascii="Arial" w:hAnsi="Arial" w:cs="Arial"/>
        </w:rPr>
        <w:t xml:space="preserve"> Há outras </w:t>
      </w:r>
      <w:r w:rsidR="00F33CF0" w:rsidRPr="00F125C5">
        <w:rPr>
          <w:rFonts w:ascii="Arial" w:hAnsi="Arial" w:cs="Arial"/>
        </w:rPr>
        <w:t xml:space="preserve">situações em que </w:t>
      </w:r>
      <w:r w:rsidR="00150816" w:rsidRPr="00F125C5">
        <w:rPr>
          <w:rFonts w:ascii="Arial" w:hAnsi="Arial" w:cs="Arial"/>
        </w:rPr>
        <w:t xml:space="preserve">se regula </w:t>
      </w:r>
      <w:r w:rsidR="00F33CF0" w:rsidRPr="00F125C5">
        <w:rPr>
          <w:rFonts w:ascii="Arial" w:hAnsi="Arial" w:cs="Arial"/>
        </w:rPr>
        <w:t>o próprio contrato de franquia</w:t>
      </w:r>
      <w:r w:rsidR="00F33CF0" w:rsidRPr="00F125C5">
        <w:rPr>
          <w:rStyle w:val="Refdenotaderodap"/>
          <w:rFonts w:ascii="Arial" w:hAnsi="Arial" w:cs="Arial"/>
        </w:rPr>
        <w:footnoteReference w:id="34"/>
      </w:r>
      <w:r w:rsidR="00CB0EF9" w:rsidRPr="00F125C5">
        <w:rPr>
          <w:rFonts w:ascii="Arial" w:hAnsi="Arial" w:cs="Arial"/>
        </w:rPr>
        <w:t xml:space="preserve"> e outras em que a regulação determina </w:t>
      </w:r>
      <w:r w:rsidR="00F33CF0" w:rsidRPr="00F125C5">
        <w:rPr>
          <w:rFonts w:ascii="Arial" w:hAnsi="Arial" w:cs="Arial"/>
        </w:rPr>
        <w:t>a compra, a qualquer tempo e a preço de mercado, dos equipamentos emprestados em comodato pela distribuidora</w:t>
      </w:r>
      <w:r w:rsidR="00CB0EF9" w:rsidRPr="00F125C5">
        <w:rPr>
          <w:rFonts w:ascii="Arial" w:hAnsi="Arial" w:cs="Arial"/>
        </w:rPr>
        <w:t xml:space="preserve"> ao revendedor</w:t>
      </w:r>
      <w:r w:rsidR="00A8656E" w:rsidRPr="00F125C5">
        <w:rPr>
          <w:rFonts w:ascii="Arial" w:hAnsi="Arial" w:cs="Arial"/>
        </w:rPr>
        <w:t>.</w:t>
      </w:r>
      <w:r w:rsidR="00F33CF0" w:rsidRPr="00F125C5">
        <w:rPr>
          <w:rFonts w:ascii="Arial" w:hAnsi="Arial" w:cs="Arial"/>
        </w:rPr>
        <w:t xml:space="preserve"> </w:t>
      </w:r>
    </w:p>
    <w:p w14:paraId="583065D8" w14:textId="2412122B" w:rsidR="00944153" w:rsidRPr="00F125C5" w:rsidRDefault="007B3D1E" w:rsidP="00944153">
      <w:pPr>
        <w:spacing w:after="0" w:line="360" w:lineRule="auto"/>
        <w:ind w:firstLine="708"/>
        <w:jc w:val="both"/>
        <w:rPr>
          <w:rFonts w:ascii="Arial" w:hAnsi="Arial" w:cs="Arial"/>
        </w:rPr>
      </w:pPr>
      <w:r w:rsidRPr="00F125C5">
        <w:rPr>
          <w:rFonts w:ascii="Arial" w:hAnsi="Arial" w:cs="Arial"/>
        </w:rPr>
        <w:t xml:space="preserve">Nos Estados Unidos, </w:t>
      </w:r>
      <w:r w:rsidR="00DF3F91" w:rsidRPr="00F125C5">
        <w:rPr>
          <w:rFonts w:ascii="Arial" w:hAnsi="Arial" w:cs="Arial"/>
        </w:rPr>
        <w:t xml:space="preserve">apesar de poucos estados terem aprovado </w:t>
      </w:r>
      <w:r w:rsidR="00421483" w:rsidRPr="00F125C5">
        <w:rPr>
          <w:rFonts w:ascii="Arial" w:hAnsi="Arial" w:cs="Arial"/>
        </w:rPr>
        <w:t>leis que impediam a verticalização entre refinarias e revendedores</w:t>
      </w:r>
      <w:r w:rsidR="00DF3F91" w:rsidRPr="00F125C5">
        <w:rPr>
          <w:rFonts w:ascii="Arial" w:hAnsi="Arial" w:cs="Arial"/>
        </w:rPr>
        <w:t xml:space="preserve">, o mercado de revenda de combustíveis ainda conta com diferentes tipos de arranjos verticais permitidos pela legislação. Destacam-se </w:t>
      </w:r>
      <w:r w:rsidR="006F47F0" w:rsidRPr="00F125C5">
        <w:rPr>
          <w:rFonts w:ascii="Arial" w:hAnsi="Arial" w:cs="Arial"/>
        </w:rPr>
        <w:t xml:space="preserve">(i) postos </w:t>
      </w:r>
      <w:r w:rsidR="00421483" w:rsidRPr="00F125C5">
        <w:rPr>
          <w:rFonts w:ascii="Arial" w:hAnsi="Arial" w:cs="Arial"/>
        </w:rPr>
        <w:t>revendedores detidos por refinarias</w:t>
      </w:r>
      <w:r w:rsidR="006F47F0" w:rsidRPr="00F125C5">
        <w:rPr>
          <w:rFonts w:ascii="Arial" w:hAnsi="Arial" w:cs="Arial"/>
        </w:rPr>
        <w:t xml:space="preserve"> (</w:t>
      </w:r>
      <w:r w:rsidR="006F47F0" w:rsidRPr="00F125C5">
        <w:rPr>
          <w:rFonts w:ascii="Arial" w:hAnsi="Arial" w:cs="Arial"/>
          <w:i/>
        </w:rPr>
        <w:t>“</w:t>
      </w:r>
      <w:proofErr w:type="spellStart"/>
      <w:r w:rsidR="006F47F0" w:rsidRPr="00F125C5">
        <w:rPr>
          <w:rFonts w:ascii="Arial" w:hAnsi="Arial" w:cs="Arial"/>
          <w:i/>
        </w:rPr>
        <w:t>company-operated</w:t>
      </w:r>
      <w:proofErr w:type="spellEnd"/>
      <w:r w:rsidR="006F47F0" w:rsidRPr="00F125C5">
        <w:rPr>
          <w:rFonts w:ascii="Arial" w:hAnsi="Arial" w:cs="Arial"/>
          <w:i/>
        </w:rPr>
        <w:t xml:space="preserve"> </w:t>
      </w:r>
      <w:proofErr w:type="spellStart"/>
      <w:r w:rsidR="006F47F0" w:rsidRPr="00F125C5">
        <w:rPr>
          <w:rFonts w:ascii="Arial" w:hAnsi="Arial" w:cs="Arial"/>
          <w:i/>
        </w:rPr>
        <w:t>stations</w:t>
      </w:r>
      <w:proofErr w:type="spellEnd"/>
      <w:r w:rsidR="006F47F0" w:rsidRPr="00F125C5">
        <w:rPr>
          <w:rFonts w:ascii="Arial" w:hAnsi="Arial" w:cs="Arial"/>
          <w:i/>
        </w:rPr>
        <w:t>”</w:t>
      </w:r>
      <w:r w:rsidR="006F47F0" w:rsidRPr="00F125C5">
        <w:rPr>
          <w:rFonts w:ascii="Arial" w:hAnsi="Arial" w:cs="Arial"/>
        </w:rPr>
        <w:t xml:space="preserve">), </w:t>
      </w:r>
      <w:r w:rsidR="00421483" w:rsidRPr="00F125C5">
        <w:rPr>
          <w:rFonts w:ascii="Arial" w:hAnsi="Arial" w:cs="Arial"/>
        </w:rPr>
        <w:t>verticalmente integrados</w:t>
      </w:r>
      <w:r w:rsidR="003E7588" w:rsidRPr="00F125C5">
        <w:rPr>
          <w:rFonts w:ascii="Arial" w:hAnsi="Arial" w:cs="Arial"/>
        </w:rPr>
        <w:t xml:space="preserve">, em que o </w:t>
      </w:r>
      <w:r w:rsidR="007316B1" w:rsidRPr="00F125C5">
        <w:rPr>
          <w:rFonts w:ascii="Arial" w:hAnsi="Arial" w:cs="Arial"/>
        </w:rPr>
        <w:t>gerente é normalmente empregado da refinaria que é dona do posto</w:t>
      </w:r>
      <w:r w:rsidR="00421483" w:rsidRPr="00F125C5">
        <w:rPr>
          <w:rFonts w:ascii="Arial" w:hAnsi="Arial" w:cs="Arial"/>
        </w:rPr>
        <w:t xml:space="preserve">; </w:t>
      </w:r>
      <w:r w:rsidR="006F47F0" w:rsidRPr="00F125C5">
        <w:rPr>
          <w:rFonts w:ascii="Arial" w:hAnsi="Arial" w:cs="Arial"/>
        </w:rPr>
        <w:t>(</w:t>
      </w:r>
      <w:proofErr w:type="spellStart"/>
      <w:r w:rsidR="006F47F0" w:rsidRPr="00F125C5">
        <w:rPr>
          <w:rFonts w:ascii="Arial" w:hAnsi="Arial" w:cs="Arial"/>
        </w:rPr>
        <w:t>ii</w:t>
      </w:r>
      <w:proofErr w:type="spellEnd"/>
      <w:r w:rsidR="006F47F0" w:rsidRPr="00F125C5">
        <w:rPr>
          <w:rFonts w:ascii="Arial" w:hAnsi="Arial" w:cs="Arial"/>
        </w:rPr>
        <w:t xml:space="preserve">) </w:t>
      </w:r>
      <w:r w:rsidR="00944153" w:rsidRPr="00F125C5">
        <w:rPr>
          <w:rFonts w:ascii="Arial" w:hAnsi="Arial" w:cs="Arial"/>
        </w:rPr>
        <w:t xml:space="preserve">postos com contratos de franquia </w:t>
      </w:r>
      <w:r w:rsidR="006F47F0" w:rsidRPr="00F125C5">
        <w:rPr>
          <w:rFonts w:ascii="Arial" w:hAnsi="Arial" w:cs="Arial"/>
        </w:rPr>
        <w:t>com refinarias</w:t>
      </w:r>
      <w:r w:rsidR="00F07907" w:rsidRPr="00F125C5">
        <w:rPr>
          <w:rFonts w:ascii="Arial" w:hAnsi="Arial" w:cs="Arial"/>
        </w:rPr>
        <w:t xml:space="preserve"> (</w:t>
      </w:r>
      <w:r w:rsidR="00F07907" w:rsidRPr="00F125C5">
        <w:rPr>
          <w:rFonts w:ascii="Arial" w:hAnsi="Arial" w:cs="Arial"/>
          <w:i/>
        </w:rPr>
        <w:t>“</w:t>
      </w:r>
      <w:proofErr w:type="spellStart"/>
      <w:r w:rsidR="00F07907" w:rsidRPr="00F125C5">
        <w:rPr>
          <w:rFonts w:ascii="Arial" w:hAnsi="Arial" w:cs="Arial"/>
          <w:i/>
        </w:rPr>
        <w:t>lessee</w:t>
      </w:r>
      <w:proofErr w:type="spellEnd"/>
      <w:r w:rsidR="00F07907" w:rsidRPr="00F125C5">
        <w:rPr>
          <w:rFonts w:ascii="Arial" w:hAnsi="Arial" w:cs="Arial"/>
          <w:i/>
        </w:rPr>
        <w:t xml:space="preserve"> </w:t>
      </w:r>
      <w:proofErr w:type="spellStart"/>
      <w:r w:rsidR="00F07907" w:rsidRPr="00F125C5">
        <w:rPr>
          <w:rFonts w:ascii="Arial" w:hAnsi="Arial" w:cs="Arial"/>
          <w:i/>
        </w:rPr>
        <w:t>dealer</w:t>
      </w:r>
      <w:proofErr w:type="spellEnd"/>
      <w:r w:rsidR="00F07907" w:rsidRPr="00F125C5">
        <w:rPr>
          <w:rFonts w:ascii="Arial" w:hAnsi="Arial" w:cs="Arial"/>
          <w:i/>
        </w:rPr>
        <w:t xml:space="preserve"> </w:t>
      </w:r>
      <w:proofErr w:type="spellStart"/>
      <w:r w:rsidR="00F07907" w:rsidRPr="00F125C5">
        <w:rPr>
          <w:rFonts w:ascii="Arial" w:hAnsi="Arial" w:cs="Arial"/>
          <w:i/>
        </w:rPr>
        <w:t>stations</w:t>
      </w:r>
      <w:proofErr w:type="spellEnd"/>
      <w:r w:rsidR="00F07907" w:rsidRPr="00F125C5">
        <w:rPr>
          <w:rFonts w:ascii="Arial" w:hAnsi="Arial" w:cs="Arial"/>
          <w:i/>
        </w:rPr>
        <w:t>”</w:t>
      </w:r>
      <w:r w:rsidR="00F07907" w:rsidRPr="00F125C5">
        <w:rPr>
          <w:rFonts w:ascii="Arial" w:hAnsi="Arial" w:cs="Arial"/>
        </w:rPr>
        <w:t>)</w:t>
      </w:r>
      <w:r w:rsidR="006F47F0" w:rsidRPr="00F125C5">
        <w:rPr>
          <w:rFonts w:ascii="Arial" w:hAnsi="Arial" w:cs="Arial"/>
        </w:rPr>
        <w:t xml:space="preserve">, </w:t>
      </w:r>
      <w:r w:rsidR="00113258" w:rsidRPr="00F125C5">
        <w:rPr>
          <w:rFonts w:ascii="Arial" w:hAnsi="Arial" w:cs="Arial"/>
        </w:rPr>
        <w:t>em que o capital físico do posto é normalmente detido pela refinaria</w:t>
      </w:r>
      <w:r w:rsidR="00F07907" w:rsidRPr="00F125C5">
        <w:rPr>
          <w:rFonts w:ascii="Arial" w:hAnsi="Arial" w:cs="Arial"/>
        </w:rPr>
        <w:t xml:space="preserve"> e que contam com a presença de contratos de exclusividade para com elas</w:t>
      </w:r>
      <w:r w:rsidR="00944153" w:rsidRPr="00F125C5">
        <w:rPr>
          <w:rFonts w:ascii="Arial" w:hAnsi="Arial" w:cs="Arial"/>
        </w:rPr>
        <w:t xml:space="preserve">; </w:t>
      </w:r>
      <w:r w:rsidR="00F07907" w:rsidRPr="00F125C5">
        <w:rPr>
          <w:rFonts w:ascii="Arial" w:hAnsi="Arial" w:cs="Arial"/>
        </w:rPr>
        <w:t>e (</w:t>
      </w:r>
      <w:proofErr w:type="spellStart"/>
      <w:r w:rsidR="00F07907" w:rsidRPr="00F125C5">
        <w:rPr>
          <w:rFonts w:ascii="Arial" w:hAnsi="Arial" w:cs="Arial"/>
        </w:rPr>
        <w:t>iii</w:t>
      </w:r>
      <w:proofErr w:type="spellEnd"/>
      <w:r w:rsidR="00F07907" w:rsidRPr="00F125C5">
        <w:rPr>
          <w:rFonts w:ascii="Arial" w:hAnsi="Arial" w:cs="Arial"/>
        </w:rPr>
        <w:t xml:space="preserve">) </w:t>
      </w:r>
      <w:r w:rsidR="00944153" w:rsidRPr="00F125C5">
        <w:rPr>
          <w:rFonts w:ascii="Arial" w:hAnsi="Arial" w:cs="Arial"/>
        </w:rPr>
        <w:t>postos independentes</w:t>
      </w:r>
      <w:r w:rsidR="007631E7" w:rsidRPr="00F125C5">
        <w:rPr>
          <w:rFonts w:ascii="Arial" w:hAnsi="Arial" w:cs="Arial"/>
        </w:rPr>
        <w:t xml:space="preserve"> (</w:t>
      </w:r>
      <w:r w:rsidR="007631E7" w:rsidRPr="00F125C5">
        <w:rPr>
          <w:rFonts w:ascii="Arial" w:hAnsi="Arial" w:cs="Arial"/>
          <w:i/>
        </w:rPr>
        <w:t xml:space="preserve">“open </w:t>
      </w:r>
      <w:proofErr w:type="spellStart"/>
      <w:r w:rsidR="007631E7" w:rsidRPr="00F125C5">
        <w:rPr>
          <w:rFonts w:ascii="Arial" w:hAnsi="Arial" w:cs="Arial"/>
          <w:i/>
        </w:rPr>
        <w:t>dealer</w:t>
      </w:r>
      <w:proofErr w:type="spellEnd"/>
      <w:r w:rsidR="007631E7" w:rsidRPr="00F125C5">
        <w:rPr>
          <w:rFonts w:ascii="Arial" w:hAnsi="Arial" w:cs="Arial"/>
          <w:i/>
        </w:rPr>
        <w:t xml:space="preserve"> </w:t>
      </w:r>
      <w:proofErr w:type="spellStart"/>
      <w:r w:rsidR="007631E7" w:rsidRPr="00F125C5">
        <w:rPr>
          <w:rFonts w:ascii="Arial" w:hAnsi="Arial" w:cs="Arial"/>
          <w:i/>
        </w:rPr>
        <w:t>stations</w:t>
      </w:r>
      <w:proofErr w:type="spellEnd"/>
      <w:r w:rsidR="007631E7" w:rsidRPr="00F125C5">
        <w:rPr>
          <w:rFonts w:ascii="Arial" w:hAnsi="Arial" w:cs="Arial"/>
          <w:i/>
        </w:rPr>
        <w:t>”</w:t>
      </w:r>
      <w:r w:rsidR="007631E7" w:rsidRPr="00F125C5">
        <w:rPr>
          <w:rFonts w:ascii="Arial" w:hAnsi="Arial" w:cs="Arial"/>
        </w:rPr>
        <w:t>),</w:t>
      </w:r>
      <w:r w:rsidR="00B32B4A" w:rsidRPr="00F125C5">
        <w:rPr>
          <w:rFonts w:ascii="Arial" w:hAnsi="Arial" w:cs="Arial"/>
        </w:rPr>
        <w:t xml:space="preserve"> de propriedade do próprio gerente ou de “</w:t>
      </w:r>
      <w:proofErr w:type="spellStart"/>
      <w:r w:rsidR="00B32B4A" w:rsidRPr="00F125C5">
        <w:rPr>
          <w:rFonts w:ascii="Arial" w:hAnsi="Arial" w:cs="Arial"/>
          <w:i/>
        </w:rPr>
        <w:t>jobbers</w:t>
      </w:r>
      <w:proofErr w:type="spellEnd"/>
      <w:r w:rsidR="00B32B4A" w:rsidRPr="00F125C5">
        <w:rPr>
          <w:rFonts w:ascii="Arial" w:hAnsi="Arial" w:cs="Arial"/>
          <w:i/>
        </w:rPr>
        <w:t>”</w:t>
      </w:r>
      <w:r w:rsidR="00B32B4A" w:rsidRPr="00F125C5">
        <w:rPr>
          <w:rFonts w:ascii="Arial" w:hAnsi="Arial" w:cs="Arial"/>
        </w:rPr>
        <w:t>, distribuidores independentes</w:t>
      </w:r>
      <w:r w:rsidR="00292F92" w:rsidRPr="00F125C5">
        <w:rPr>
          <w:rFonts w:ascii="Arial" w:hAnsi="Arial" w:cs="Arial"/>
        </w:rPr>
        <w:t xml:space="preserve">. Os postos independentes podem optar por se vincular à marca de uma distribuidora, cenário em que devem </w:t>
      </w:r>
      <w:r w:rsidR="0093402F" w:rsidRPr="00F125C5">
        <w:rPr>
          <w:rFonts w:ascii="Arial" w:hAnsi="Arial" w:cs="Arial"/>
        </w:rPr>
        <w:t xml:space="preserve">manter o compromisso de exclusividade de fornecimento, ou optar por ter marca própria, </w:t>
      </w:r>
      <w:r w:rsidR="005C00F7" w:rsidRPr="00F125C5">
        <w:rPr>
          <w:rFonts w:ascii="Arial" w:hAnsi="Arial" w:cs="Arial"/>
        </w:rPr>
        <w:t>cenário em que pode comercializar combustível de qualquer refinaria</w:t>
      </w:r>
      <w:r w:rsidR="00944153" w:rsidRPr="00F125C5">
        <w:rPr>
          <w:rFonts w:ascii="Arial" w:hAnsi="Arial" w:cs="Arial"/>
        </w:rPr>
        <w:t>.</w:t>
      </w:r>
      <w:r w:rsidR="006F47F0" w:rsidRPr="00F125C5">
        <w:rPr>
          <w:rStyle w:val="Refdenotaderodap"/>
          <w:rFonts w:ascii="Arial" w:hAnsi="Arial" w:cs="Arial"/>
        </w:rPr>
        <w:footnoteReference w:id="35"/>
      </w:r>
      <w:r w:rsidR="00944153" w:rsidRPr="00F125C5">
        <w:rPr>
          <w:rFonts w:ascii="Arial" w:hAnsi="Arial" w:cs="Arial"/>
        </w:rPr>
        <w:t xml:space="preserve"> </w:t>
      </w:r>
    </w:p>
    <w:p w14:paraId="4589B2FF" w14:textId="348E1E73" w:rsidR="00D638F6" w:rsidRPr="00F125C5" w:rsidRDefault="00AF2498" w:rsidP="005E5BEA">
      <w:pPr>
        <w:spacing w:after="0" w:line="360" w:lineRule="auto"/>
        <w:ind w:firstLine="708"/>
        <w:jc w:val="both"/>
        <w:rPr>
          <w:rFonts w:ascii="Arial" w:hAnsi="Arial" w:cs="Arial"/>
        </w:rPr>
      </w:pPr>
      <w:r w:rsidRPr="00F125C5">
        <w:rPr>
          <w:rFonts w:ascii="Arial" w:hAnsi="Arial" w:cs="Arial"/>
        </w:rPr>
        <w:t xml:space="preserve">Na Austrália, </w:t>
      </w:r>
      <w:r w:rsidR="007B6822" w:rsidRPr="00F125C5">
        <w:rPr>
          <w:rFonts w:ascii="Arial" w:hAnsi="Arial" w:cs="Arial"/>
        </w:rPr>
        <w:t xml:space="preserve">que apresenta uma divisão de elos da cadeia de combustíveis semelhante </w:t>
      </w:r>
      <w:r w:rsidR="008A5DEC" w:rsidRPr="00F125C5">
        <w:rPr>
          <w:rFonts w:ascii="Arial" w:hAnsi="Arial" w:cs="Arial"/>
        </w:rPr>
        <w:t xml:space="preserve">à brasileira (produção, refino, distribuição e revenda), em que pese </w:t>
      </w:r>
      <w:r w:rsidR="00084641" w:rsidRPr="00F125C5">
        <w:rPr>
          <w:rFonts w:ascii="Arial" w:hAnsi="Arial" w:cs="Arial"/>
        </w:rPr>
        <w:t xml:space="preserve">existirem diferenças significativas quanto ao grau de concorrência destes elos (especialmente no refino, que conta com a presença de diferentes empresas), </w:t>
      </w:r>
      <w:r w:rsidR="004A2739" w:rsidRPr="00F125C5">
        <w:rPr>
          <w:rFonts w:ascii="Arial" w:hAnsi="Arial" w:cs="Arial"/>
        </w:rPr>
        <w:t xml:space="preserve">há formas </w:t>
      </w:r>
      <w:r w:rsidR="006D0658" w:rsidRPr="00F125C5">
        <w:rPr>
          <w:rFonts w:ascii="Arial" w:hAnsi="Arial" w:cs="Arial"/>
        </w:rPr>
        <w:t xml:space="preserve">variadas </w:t>
      </w:r>
      <w:r w:rsidR="004A2739" w:rsidRPr="00F125C5">
        <w:rPr>
          <w:rFonts w:ascii="Arial" w:hAnsi="Arial" w:cs="Arial"/>
        </w:rPr>
        <w:t xml:space="preserve">de relacionamento vertical envolvendo a revenda. Existem quatro grandes categorias de postos revendedores: </w:t>
      </w:r>
      <w:r w:rsidR="00A40D90" w:rsidRPr="00F125C5">
        <w:rPr>
          <w:rFonts w:ascii="Arial" w:hAnsi="Arial" w:cs="Arial"/>
        </w:rPr>
        <w:t xml:space="preserve">postos de propriedade das refinarias; postos independentes vinculado à marca da refinaria, </w:t>
      </w:r>
      <w:r w:rsidR="00557FD0" w:rsidRPr="00F125C5">
        <w:rPr>
          <w:rFonts w:ascii="Arial" w:hAnsi="Arial" w:cs="Arial"/>
        </w:rPr>
        <w:t>mas cujo terreno é da distribuidora; postos de supermercados</w:t>
      </w:r>
      <w:r w:rsidR="00946952" w:rsidRPr="00F125C5">
        <w:rPr>
          <w:rStyle w:val="Refdenotaderodap"/>
          <w:rFonts w:ascii="Arial" w:hAnsi="Arial" w:cs="Arial"/>
        </w:rPr>
        <w:footnoteReference w:id="36"/>
      </w:r>
      <w:r w:rsidR="00557FD0" w:rsidRPr="00F125C5">
        <w:rPr>
          <w:rFonts w:ascii="Arial" w:hAnsi="Arial" w:cs="Arial"/>
        </w:rPr>
        <w:t xml:space="preserve"> e postos independentes de marcas próprias.</w:t>
      </w:r>
      <w:r w:rsidR="00557FD0" w:rsidRPr="00F125C5">
        <w:rPr>
          <w:rStyle w:val="Refdenotaderodap"/>
          <w:rFonts w:ascii="Arial" w:hAnsi="Arial" w:cs="Arial"/>
        </w:rPr>
        <w:footnoteReference w:id="37"/>
      </w:r>
      <w:r w:rsidR="00946952" w:rsidRPr="00F125C5">
        <w:rPr>
          <w:rFonts w:ascii="Arial" w:hAnsi="Arial" w:cs="Arial"/>
        </w:rPr>
        <w:t xml:space="preserve"> </w:t>
      </w:r>
    </w:p>
    <w:p w14:paraId="7597BF98" w14:textId="34BE7819" w:rsidR="007F402F" w:rsidRPr="00F125C5" w:rsidRDefault="00A343B2" w:rsidP="007F402F">
      <w:pPr>
        <w:spacing w:after="0" w:line="360" w:lineRule="auto"/>
        <w:ind w:firstLine="708"/>
        <w:jc w:val="both"/>
        <w:rPr>
          <w:rFonts w:ascii="Arial" w:hAnsi="Arial" w:cs="Arial"/>
        </w:rPr>
      </w:pPr>
      <w:r w:rsidRPr="00F125C5">
        <w:rPr>
          <w:rFonts w:ascii="Arial" w:hAnsi="Arial" w:cs="Arial"/>
        </w:rPr>
        <w:lastRenderedPageBreak/>
        <w:t>O</w:t>
      </w:r>
      <w:r w:rsidR="00DA2C82" w:rsidRPr="00F125C5">
        <w:rPr>
          <w:rFonts w:ascii="Arial" w:hAnsi="Arial" w:cs="Arial"/>
        </w:rPr>
        <w:t xml:space="preserve"> Canadá, por sua vez, </w:t>
      </w:r>
      <w:r w:rsidR="00BA7366" w:rsidRPr="00F125C5">
        <w:rPr>
          <w:rFonts w:ascii="Arial" w:hAnsi="Arial" w:cs="Arial"/>
        </w:rPr>
        <w:t>não impõe qualquer restrição à integração vertical na cadeia.</w:t>
      </w:r>
      <w:r w:rsidR="000E7C15" w:rsidRPr="00F125C5">
        <w:rPr>
          <w:rFonts w:ascii="Arial" w:hAnsi="Arial" w:cs="Arial"/>
        </w:rPr>
        <w:t xml:space="preserve"> </w:t>
      </w:r>
      <w:r w:rsidR="00BD118E" w:rsidRPr="00F125C5">
        <w:rPr>
          <w:rFonts w:ascii="Arial" w:hAnsi="Arial" w:cs="Arial"/>
        </w:rPr>
        <w:t>No país</w:t>
      </w:r>
      <w:r w:rsidR="00F45A8A" w:rsidRPr="00F125C5">
        <w:rPr>
          <w:rFonts w:ascii="Arial" w:hAnsi="Arial" w:cs="Arial"/>
        </w:rPr>
        <w:t>, a cadeia produtiva é dividida e</w:t>
      </w:r>
      <w:r w:rsidR="00BD118E" w:rsidRPr="00F125C5">
        <w:rPr>
          <w:rFonts w:ascii="Arial" w:hAnsi="Arial" w:cs="Arial"/>
        </w:rPr>
        <w:t>m</w:t>
      </w:r>
      <w:r w:rsidR="00F45A8A" w:rsidRPr="00F125C5">
        <w:rPr>
          <w:rFonts w:ascii="Arial" w:hAnsi="Arial" w:cs="Arial"/>
        </w:rPr>
        <w:t xml:space="preserve"> </w:t>
      </w:r>
      <w:r w:rsidR="006A3244" w:rsidRPr="00F125C5">
        <w:rPr>
          <w:rFonts w:ascii="Arial" w:hAnsi="Arial" w:cs="Arial"/>
        </w:rPr>
        <w:t>produção</w:t>
      </w:r>
      <w:r w:rsidR="00B62140" w:rsidRPr="00F125C5">
        <w:rPr>
          <w:rFonts w:ascii="Arial" w:hAnsi="Arial" w:cs="Arial"/>
        </w:rPr>
        <w:t xml:space="preserve"> e transporte de petróleo e gás natura</w:t>
      </w:r>
      <w:r w:rsidR="002658D0" w:rsidRPr="00F125C5">
        <w:rPr>
          <w:rFonts w:ascii="Arial" w:hAnsi="Arial" w:cs="Arial"/>
        </w:rPr>
        <w:t>;</w:t>
      </w:r>
      <w:r w:rsidR="006A3244" w:rsidRPr="00F125C5">
        <w:rPr>
          <w:rFonts w:ascii="Arial" w:hAnsi="Arial" w:cs="Arial"/>
        </w:rPr>
        <w:t xml:space="preserve"> refino</w:t>
      </w:r>
      <w:r w:rsidR="002658D0" w:rsidRPr="00F125C5">
        <w:rPr>
          <w:rFonts w:ascii="Arial" w:hAnsi="Arial" w:cs="Arial"/>
        </w:rPr>
        <w:t>;</w:t>
      </w:r>
      <w:r w:rsidR="006A3244" w:rsidRPr="00F125C5">
        <w:rPr>
          <w:rFonts w:ascii="Arial" w:hAnsi="Arial" w:cs="Arial"/>
        </w:rPr>
        <w:t xml:space="preserve"> </w:t>
      </w:r>
      <w:r w:rsidR="002658D0" w:rsidRPr="00F125C5">
        <w:rPr>
          <w:rFonts w:ascii="Arial" w:hAnsi="Arial" w:cs="Arial"/>
        </w:rPr>
        <w:t>transporte</w:t>
      </w:r>
      <w:r w:rsidR="006A3244" w:rsidRPr="00F125C5">
        <w:rPr>
          <w:rFonts w:ascii="Arial" w:hAnsi="Arial" w:cs="Arial"/>
        </w:rPr>
        <w:t xml:space="preserve">, </w:t>
      </w:r>
      <w:r w:rsidR="007C6207" w:rsidRPr="00F125C5">
        <w:rPr>
          <w:rFonts w:ascii="Arial" w:hAnsi="Arial" w:cs="Arial"/>
        </w:rPr>
        <w:t xml:space="preserve">finalização, </w:t>
      </w:r>
      <w:r w:rsidR="006A3244" w:rsidRPr="00F125C5">
        <w:rPr>
          <w:rFonts w:ascii="Arial" w:hAnsi="Arial" w:cs="Arial"/>
        </w:rPr>
        <w:t xml:space="preserve">distribuição e </w:t>
      </w:r>
      <w:r w:rsidR="007C6207" w:rsidRPr="00F125C5">
        <w:rPr>
          <w:rFonts w:ascii="Arial" w:hAnsi="Arial" w:cs="Arial"/>
        </w:rPr>
        <w:t>atacado de produtos refinados; e</w:t>
      </w:r>
      <w:r w:rsidR="006A3244" w:rsidRPr="00F125C5">
        <w:rPr>
          <w:rFonts w:ascii="Arial" w:hAnsi="Arial" w:cs="Arial"/>
        </w:rPr>
        <w:t xml:space="preserve"> revenda</w:t>
      </w:r>
      <w:r w:rsidR="00680F31" w:rsidRPr="00F125C5">
        <w:rPr>
          <w:rFonts w:ascii="Arial" w:hAnsi="Arial" w:cs="Arial"/>
        </w:rPr>
        <w:t xml:space="preserve"> de produtos refinados.</w:t>
      </w:r>
      <w:r w:rsidR="00F45A8A" w:rsidRPr="00F125C5">
        <w:rPr>
          <w:rFonts w:ascii="Arial" w:hAnsi="Arial" w:cs="Arial"/>
        </w:rPr>
        <w:t xml:space="preserve"> </w:t>
      </w:r>
      <w:r w:rsidR="00924225" w:rsidRPr="00F125C5">
        <w:rPr>
          <w:rFonts w:ascii="Arial" w:hAnsi="Arial" w:cs="Arial"/>
        </w:rPr>
        <w:t>É notável a multiplicidade de</w:t>
      </w:r>
      <w:r w:rsidR="00464437" w:rsidRPr="00F125C5">
        <w:rPr>
          <w:rFonts w:ascii="Arial" w:hAnsi="Arial" w:cs="Arial"/>
        </w:rPr>
        <w:t xml:space="preserve"> agentes atuando no setor de refino do país</w:t>
      </w:r>
      <w:r w:rsidR="00924225" w:rsidRPr="00F125C5">
        <w:rPr>
          <w:rFonts w:ascii="Arial" w:hAnsi="Arial" w:cs="Arial"/>
        </w:rPr>
        <w:t>.</w:t>
      </w:r>
      <w:r w:rsidR="00464437" w:rsidRPr="00F125C5">
        <w:rPr>
          <w:rFonts w:ascii="Arial" w:hAnsi="Arial" w:cs="Arial"/>
        </w:rPr>
        <w:t xml:space="preserve"> </w:t>
      </w:r>
    </w:p>
    <w:p w14:paraId="0D434289" w14:textId="4B32EA3C" w:rsidR="008A1470" w:rsidRPr="00F125C5" w:rsidRDefault="006D0658">
      <w:pPr>
        <w:spacing w:after="0" w:line="360" w:lineRule="auto"/>
        <w:ind w:firstLine="708"/>
        <w:jc w:val="both"/>
        <w:rPr>
          <w:rFonts w:ascii="Arial" w:hAnsi="Arial" w:cs="Arial"/>
        </w:rPr>
      </w:pPr>
      <w:r w:rsidRPr="00F125C5">
        <w:rPr>
          <w:rFonts w:ascii="Arial" w:hAnsi="Arial" w:cs="Arial"/>
        </w:rPr>
        <w:t>N</w:t>
      </w:r>
      <w:r w:rsidR="008A1470" w:rsidRPr="00F125C5">
        <w:rPr>
          <w:rFonts w:ascii="Arial" w:hAnsi="Arial" w:cs="Arial"/>
        </w:rPr>
        <w:t xml:space="preserve">a África do Sul, </w:t>
      </w:r>
      <w:r w:rsidR="00D16B06" w:rsidRPr="00F125C5">
        <w:rPr>
          <w:rFonts w:ascii="Arial" w:hAnsi="Arial" w:cs="Arial"/>
        </w:rPr>
        <w:t xml:space="preserve">em que o nível do preço de revenda é calculado com referência ao </w:t>
      </w:r>
      <w:r w:rsidR="00612D44" w:rsidRPr="00F125C5">
        <w:rPr>
          <w:rFonts w:ascii="Arial" w:hAnsi="Arial" w:cs="Arial"/>
          <w:i/>
        </w:rPr>
        <w:t xml:space="preserve">Basic </w:t>
      </w:r>
      <w:proofErr w:type="spellStart"/>
      <w:r w:rsidR="00612D44" w:rsidRPr="00F125C5">
        <w:rPr>
          <w:rFonts w:ascii="Arial" w:hAnsi="Arial" w:cs="Arial"/>
          <w:i/>
        </w:rPr>
        <w:t>Fuels</w:t>
      </w:r>
      <w:proofErr w:type="spellEnd"/>
      <w:r w:rsidR="00612D44" w:rsidRPr="00F125C5">
        <w:rPr>
          <w:rFonts w:ascii="Arial" w:hAnsi="Arial" w:cs="Arial"/>
          <w:i/>
        </w:rPr>
        <w:t xml:space="preserve"> </w:t>
      </w:r>
      <w:proofErr w:type="spellStart"/>
      <w:r w:rsidR="00612D44" w:rsidRPr="00F125C5">
        <w:rPr>
          <w:rFonts w:ascii="Arial" w:hAnsi="Arial" w:cs="Arial"/>
          <w:i/>
        </w:rPr>
        <w:t>Price</w:t>
      </w:r>
      <w:proofErr w:type="spellEnd"/>
      <w:r w:rsidR="00612D44" w:rsidRPr="00F125C5">
        <w:rPr>
          <w:rFonts w:ascii="Arial" w:hAnsi="Arial" w:cs="Arial"/>
        </w:rPr>
        <w:t xml:space="preserve"> mais determinada margem de revenda, </w:t>
      </w:r>
      <w:r w:rsidR="00FD5E77" w:rsidRPr="00F125C5">
        <w:rPr>
          <w:rFonts w:ascii="Arial" w:hAnsi="Arial" w:cs="Arial"/>
        </w:rPr>
        <w:t xml:space="preserve">considera-se não haver necessidade de vedação a integrações verticais, </w:t>
      </w:r>
      <w:r w:rsidR="00C85DE0" w:rsidRPr="00F125C5">
        <w:rPr>
          <w:rFonts w:ascii="Arial" w:hAnsi="Arial" w:cs="Arial"/>
        </w:rPr>
        <w:t>sendo possível tanto que</w:t>
      </w:r>
      <w:r w:rsidR="00FD5E77" w:rsidRPr="00F125C5">
        <w:rPr>
          <w:rFonts w:ascii="Arial" w:hAnsi="Arial" w:cs="Arial"/>
        </w:rPr>
        <w:t xml:space="preserve"> </w:t>
      </w:r>
      <w:r w:rsidR="00683412" w:rsidRPr="00F125C5">
        <w:rPr>
          <w:rFonts w:ascii="Arial" w:hAnsi="Arial" w:cs="Arial"/>
        </w:rPr>
        <w:t>produtores quanto distribuidores de combustíveis detenham postos de revenda, já</w:t>
      </w:r>
      <w:r w:rsidR="00FD5E77" w:rsidRPr="00F125C5">
        <w:rPr>
          <w:rFonts w:ascii="Arial" w:hAnsi="Arial" w:cs="Arial"/>
        </w:rPr>
        <w:t xml:space="preserve"> qu</w:t>
      </w:r>
      <w:r w:rsidR="00C85DE0" w:rsidRPr="00F125C5">
        <w:rPr>
          <w:rFonts w:ascii="Arial" w:hAnsi="Arial" w:cs="Arial"/>
        </w:rPr>
        <w:t xml:space="preserve">e teoricamente não </w:t>
      </w:r>
      <w:r w:rsidR="00683412" w:rsidRPr="00F125C5">
        <w:rPr>
          <w:rFonts w:ascii="Arial" w:hAnsi="Arial" w:cs="Arial"/>
        </w:rPr>
        <w:t>poderia haver</w:t>
      </w:r>
      <w:r w:rsidR="00C85DE0" w:rsidRPr="00F125C5">
        <w:rPr>
          <w:rFonts w:ascii="Arial" w:hAnsi="Arial" w:cs="Arial"/>
        </w:rPr>
        <w:t xml:space="preserve"> diferenças </w:t>
      </w:r>
      <w:r w:rsidR="00706709" w:rsidRPr="00F125C5">
        <w:rPr>
          <w:rFonts w:ascii="Arial" w:hAnsi="Arial" w:cs="Arial"/>
        </w:rPr>
        <w:t>significativas</w:t>
      </w:r>
      <w:r w:rsidR="00C85DE0" w:rsidRPr="00F125C5">
        <w:rPr>
          <w:rFonts w:ascii="Arial" w:hAnsi="Arial" w:cs="Arial"/>
        </w:rPr>
        <w:t xml:space="preserve"> entre os preços praticados</w:t>
      </w:r>
      <w:r w:rsidR="00706709" w:rsidRPr="00F125C5">
        <w:rPr>
          <w:rFonts w:ascii="Arial" w:hAnsi="Arial" w:cs="Arial"/>
        </w:rPr>
        <w:t>.</w:t>
      </w:r>
      <w:r w:rsidR="00612D44" w:rsidRPr="00F125C5">
        <w:rPr>
          <w:rFonts w:ascii="Arial" w:hAnsi="Arial" w:cs="Arial"/>
        </w:rPr>
        <w:t xml:space="preserve"> </w:t>
      </w:r>
      <w:r w:rsidR="00EF7461" w:rsidRPr="00F125C5">
        <w:rPr>
          <w:rFonts w:ascii="Arial" w:hAnsi="Arial" w:cs="Arial"/>
        </w:rPr>
        <w:t xml:space="preserve">A cadeia é dividida entre produção e </w:t>
      </w:r>
      <w:r w:rsidR="001770BC" w:rsidRPr="00F125C5">
        <w:rPr>
          <w:rFonts w:ascii="Arial" w:hAnsi="Arial" w:cs="Arial"/>
        </w:rPr>
        <w:t>refino</w:t>
      </w:r>
      <w:r w:rsidR="00EF7461" w:rsidRPr="00F125C5">
        <w:rPr>
          <w:rFonts w:ascii="Arial" w:hAnsi="Arial" w:cs="Arial"/>
        </w:rPr>
        <w:t xml:space="preserve">, </w:t>
      </w:r>
      <w:r w:rsidR="001770BC" w:rsidRPr="00F125C5">
        <w:rPr>
          <w:rFonts w:ascii="Arial" w:hAnsi="Arial" w:cs="Arial"/>
        </w:rPr>
        <w:t>armazenamento</w:t>
      </w:r>
      <w:r w:rsidR="00523DCF" w:rsidRPr="00F125C5">
        <w:rPr>
          <w:rFonts w:ascii="Arial" w:hAnsi="Arial" w:cs="Arial"/>
        </w:rPr>
        <w:t xml:space="preserve">, distribuição em atacado e revenda. </w:t>
      </w:r>
    </w:p>
    <w:p w14:paraId="404DEC3A" w14:textId="77777777" w:rsidR="00685A29" w:rsidRPr="003B7E36" w:rsidRDefault="00685A29" w:rsidP="00685A29">
      <w:pPr>
        <w:spacing w:after="0" w:line="360" w:lineRule="auto"/>
        <w:ind w:firstLine="708"/>
        <w:jc w:val="both"/>
        <w:rPr>
          <w:rFonts w:ascii="Tahoma" w:hAnsi="Tahoma"/>
        </w:rPr>
      </w:pPr>
      <w:r w:rsidRPr="00330C6A">
        <w:rPr>
          <w:rFonts w:ascii="Tahoma" w:hAnsi="Tahoma"/>
        </w:rPr>
        <w:t xml:space="preserve">A presença de cláusulas de exclusividade entre distribuidor e revendedor com tutela regulatória é regra na experiência internacional. Analisamos os mercados de Estados Unidos, Reino Unido, Alemanha, Holanda, Argentina, Austrália, Tailândia, Turquia, Chile e México. Verificou-se que, em todos esses mercados os contratos de fornecimento firmados entre distribuidores e revendedores de combustíveis apresentavam cláusulas de exclusividade vigentes durante o todo o contrato. No mais, para além das penalidades contratualmente previstas, os órgãos reguladores também fiscalizam essas relações. </w:t>
      </w:r>
    </w:p>
    <w:p w14:paraId="3258040A" w14:textId="3F698E8C" w:rsidR="00072636" w:rsidRPr="00F125C5" w:rsidRDefault="00072636" w:rsidP="00072636">
      <w:pPr>
        <w:spacing w:after="0" w:line="360" w:lineRule="auto"/>
        <w:ind w:firstLine="708"/>
        <w:jc w:val="both"/>
        <w:rPr>
          <w:rFonts w:ascii="Arial" w:hAnsi="Arial" w:cs="Arial"/>
        </w:rPr>
      </w:pPr>
      <w:bookmarkStart w:id="2" w:name="_GoBack"/>
      <w:bookmarkEnd w:id="2"/>
      <w:r w:rsidRPr="00F125C5">
        <w:rPr>
          <w:rFonts w:ascii="Arial" w:hAnsi="Arial" w:cs="Arial"/>
        </w:rPr>
        <w:t xml:space="preserve">Por fim, não há nenhuma evidência direta de que, em países em que se permite a verticalização, os preços dos combustíveis são inferiores aos dos demais países por conta deste motivo, ou mesmo de que a concorrência seja mais acirrada devido à permissão da verticalização. </w:t>
      </w:r>
    </w:p>
    <w:p w14:paraId="4199F75E" w14:textId="379B2193" w:rsidR="00E505E1" w:rsidRPr="00F125C5" w:rsidRDefault="00B535D1" w:rsidP="00DA6CC0">
      <w:pPr>
        <w:spacing w:after="0" w:line="360" w:lineRule="auto"/>
        <w:ind w:firstLine="709"/>
        <w:jc w:val="both"/>
        <w:rPr>
          <w:rFonts w:ascii="Arial" w:hAnsi="Arial" w:cs="Arial"/>
        </w:rPr>
      </w:pPr>
      <w:r w:rsidRPr="00F125C5">
        <w:rPr>
          <w:rFonts w:ascii="Arial" w:hAnsi="Arial" w:cs="Arial"/>
        </w:rPr>
        <w:t>N</w:t>
      </w:r>
      <w:r w:rsidR="00E505E1" w:rsidRPr="00F125C5">
        <w:rPr>
          <w:rFonts w:ascii="Arial" w:hAnsi="Arial" w:cs="Arial"/>
        </w:rPr>
        <w:t xml:space="preserve">o Brasil, </w:t>
      </w:r>
      <w:r w:rsidR="00894481" w:rsidRPr="00F125C5">
        <w:rPr>
          <w:rFonts w:ascii="Arial" w:hAnsi="Arial" w:cs="Arial"/>
        </w:rPr>
        <w:t>a regulação veda a verticalização da revenda com o produtor e também com o distribuidor. A</w:t>
      </w:r>
      <w:r w:rsidR="00E505E1" w:rsidRPr="00F125C5">
        <w:rPr>
          <w:rFonts w:ascii="Arial" w:hAnsi="Arial" w:cs="Arial"/>
        </w:rPr>
        <w:t>té meados da década de 1990</w:t>
      </w:r>
      <w:r w:rsidR="00894481" w:rsidRPr="00F125C5">
        <w:rPr>
          <w:rFonts w:ascii="Arial" w:hAnsi="Arial" w:cs="Arial"/>
        </w:rPr>
        <w:t>, o mercado de revenda de combustíveis, que era</w:t>
      </w:r>
      <w:r w:rsidR="00E505E1" w:rsidRPr="00F125C5">
        <w:rPr>
          <w:rFonts w:ascii="Arial" w:hAnsi="Arial" w:cs="Arial"/>
        </w:rPr>
        <w:t xml:space="preserve"> restrito a postos com contrato de exclusividade com distribuidoras (postos bandeirados), passou a contar com um novo segmento: os revendedores com marca própria (também conhecidos como postos bandeira branca), que não se vinculam por contratos de exclusividade a nenhuma distribuidora. Assim, a decisão relativa ao arranjo a ser utilizado pelo revendedor faz parte da livre iniciativa dos agentes econômicos</w:t>
      </w:r>
      <w:r w:rsidR="00F66F39" w:rsidRPr="00F125C5">
        <w:rPr>
          <w:rFonts w:ascii="Arial" w:hAnsi="Arial" w:cs="Arial"/>
        </w:rPr>
        <w:t>.</w:t>
      </w:r>
      <w:r w:rsidR="00E505E1" w:rsidRPr="00F125C5">
        <w:rPr>
          <w:rFonts w:ascii="Arial" w:hAnsi="Arial" w:cs="Arial"/>
        </w:rPr>
        <w:t xml:space="preserve"> </w:t>
      </w:r>
      <w:r w:rsidR="00F66F39" w:rsidRPr="00F125C5">
        <w:rPr>
          <w:rFonts w:ascii="Arial" w:hAnsi="Arial" w:cs="Arial"/>
        </w:rPr>
        <w:t>Com efeito</w:t>
      </w:r>
      <w:r w:rsidR="00DA6CC0" w:rsidRPr="00F125C5">
        <w:rPr>
          <w:rFonts w:ascii="Arial" w:hAnsi="Arial" w:cs="Arial"/>
        </w:rPr>
        <w:t xml:space="preserve">, existem </w:t>
      </w:r>
      <w:r w:rsidR="00894481" w:rsidRPr="00F125C5">
        <w:rPr>
          <w:rFonts w:ascii="Arial" w:hAnsi="Arial" w:cs="Arial"/>
        </w:rPr>
        <w:t xml:space="preserve">atualmente </w:t>
      </w:r>
      <w:r w:rsidR="00DA6CC0" w:rsidRPr="00F125C5">
        <w:rPr>
          <w:rFonts w:ascii="Arial" w:hAnsi="Arial" w:cs="Arial"/>
        </w:rPr>
        <w:t xml:space="preserve">diversos modelos de relacionamento vertical entre distribuidores e revendedores, que se materializam em contratos que variam conforme a forma da operação do posto (com marca da distribuidora ou com </w:t>
      </w:r>
      <w:r w:rsidR="00DA6CC0" w:rsidRPr="00F125C5">
        <w:rPr>
          <w:rFonts w:ascii="Arial" w:hAnsi="Arial" w:cs="Arial"/>
        </w:rPr>
        <w:lastRenderedPageBreak/>
        <w:t xml:space="preserve">marca própria), a propriedade dos ativos (terreno e outros, como os operacionais) e o nível de integração entre a distribuidora e o revendedor. </w:t>
      </w:r>
    </w:p>
    <w:p w14:paraId="48CCCBC5" w14:textId="1553D836" w:rsidR="007F55AD" w:rsidRPr="00F125C5" w:rsidRDefault="007F55AD" w:rsidP="005573AA">
      <w:pPr>
        <w:spacing w:after="0" w:line="360" w:lineRule="auto"/>
        <w:ind w:firstLine="709"/>
        <w:jc w:val="both"/>
        <w:rPr>
          <w:rFonts w:ascii="Arial" w:hAnsi="Arial" w:cs="Arial"/>
        </w:rPr>
      </w:pPr>
      <w:r w:rsidRPr="00F125C5">
        <w:rPr>
          <w:rFonts w:ascii="Arial" w:hAnsi="Arial" w:cs="Arial"/>
        </w:rPr>
        <w:t xml:space="preserve">Em termos práticos, revendedores têm duas possibilidades: ou podem optar por se vincular a uma marca específica de uma distribuidora de combustíveis (nacional, regional ou mesmo local), ou podem ter sua marca própria. Os primeiros (postos bandeirados), por sua vez, podem ter diferentes graus de integração contratual com as distribuidoras, que variam de investimentos em marketing até a propriedade de equipamentos e terreno, mais raros desde meados dos anos 2000 no país. Já os segundos, revendedores que decidem adotar marca própria, detêm os ativos do negócio e possuem total liberdade para adquirir combustíveis de mais de um distribuidor. </w:t>
      </w:r>
    </w:p>
    <w:p w14:paraId="4AB3B76D" w14:textId="47F1642F" w:rsidR="00E505E1" w:rsidRPr="00F125C5" w:rsidRDefault="00F66F39" w:rsidP="00E505E1">
      <w:pPr>
        <w:spacing w:after="0" w:line="360" w:lineRule="auto"/>
        <w:ind w:firstLine="708"/>
        <w:jc w:val="both"/>
        <w:rPr>
          <w:rFonts w:ascii="Arial" w:hAnsi="Arial" w:cs="Arial"/>
        </w:rPr>
      </w:pPr>
      <w:r w:rsidRPr="00F125C5">
        <w:rPr>
          <w:rFonts w:ascii="Arial" w:hAnsi="Arial" w:cs="Arial"/>
        </w:rPr>
        <w:t>E</w:t>
      </w:r>
      <w:r w:rsidR="00DA6CC0" w:rsidRPr="00F125C5">
        <w:rPr>
          <w:rFonts w:ascii="Arial" w:hAnsi="Arial" w:cs="Arial"/>
        </w:rPr>
        <w:t>ste</w:t>
      </w:r>
      <w:r w:rsidR="00E505E1" w:rsidRPr="00F125C5">
        <w:rPr>
          <w:rFonts w:ascii="Arial" w:hAnsi="Arial" w:cs="Arial"/>
        </w:rPr>
        <w:t xml:space="preserve"> modelo regulatório, estruturado em torno da tutela da relação vertical contratual entre distribuidoras e revendedoras (contratos de exclusividade), sem prejuízo da possibilidade de que os revendedores que optarem por não se vincular à marca das distribuidoras possam ter sua marca própria, serve como mecanismo de governança que </w:t>
      </w:r>
      <w:r w:rsidRPr="00F125C5">
        <w:rPr>
          <w:rFonts w:ascii="Arial" w:hAnsi="Arial" w:cs="Arial"/>
        </w:rPr>
        <w:t xml:space="preserve">traz consigo um conjunto de eficiências, tais como a </w:t>
      </w:r>
      <w:r w:rsidR="00E505E1" w:rsidRPr="00F125C5">
        <w:rPr>
          <w:rFonts w:ascii="Arial" w:hAnsi="Arial" w:cs="Arial"/>
        </w:rPr>
        <w:t>redu</w:t>
      </w:r>
      <w:r w:rsidRPr="00F125C5">
        <w:rPr>
          <w:rFonts w:ascii="Arial" w:hAnsi="Arial" w:cs="Arial"/>
        </w:rPr>
        <w:t xml:space="preserve">ção da </w:t>
      </w:r>
      <w:r w:rsidR="00E505E1" w:rsidRPr="00F125C5">
        <w:rPr>
          <w:rFonts w:ascii="Arial" w:hAnsi="Arial" w:cs="Arial"/>
        </w:rPr>
        <w:t>incerteza</w:t>
      </w:r>
      <w:r w:rsidRPr="00F125C5">
        <w:rPr>
          <w:rFonts w:ascii="Arial" w:hAnsi="Arial" w:cs="Arial"/>
        </w:rPr>
        <w:t xml:space="preserve"> e a </w:t>
      </w:r>
      <w:r w:rsidR="00E505E1" w:rsidRPr="00F125C5">
        <w:rPr>
          <w:rFonts w:ascii="Arial" w:hAnsi="Arial" w:cs="Arial"/>
        </w:rPr>
        <w:t xml:space="preserve">realização de investimentos de diferenciação por parte das distribuidoras. </w:t>
      </w:r>
      <w:r w:rsidRPr="00F125C5">
        <w:rPr>
          <w:rFonts w:ascii="Arial" w:hAnsi="Arial" w:cs="Arial"/>
        </w:rPr>
        <w:t>O</w:t>
      </w:r>
      <w:r w:rsidR="00E505E1" w:rsidRPr="00F125C5">
        <w:rPr>
          <w:rFonts w:ascii="Arial" w:hAnsi="Arial" w:cs="Arial"/>
        </w:rPr>
        <w:t xml:space="preserve"> modelo atual também diminui os riscos de adoção de práticas </w:t>
      </w:r>
      <w:proofErr w:type="spellStart"/>
      <w:r w:rsidR="00E505E1" w:rsidRPr="00F125C5">
        <w:rPr>
          <w:rFonts w:ascii="Arial" w:hAnsi="Arial" w:cs="Arial"/>
        </w:rPr>
        <w:t>anticompetitivas</w:t>
      </w:r>
      <w:proofErr w:type="spellEnd"/>
      <w:r w:rsidR="00E505E1" w:rsidRPr="00F125C5">
        <w:rPr>
          <w:rFonts w:ascii="Arial" w:hAnsi="Arial" w:cs="Arial"/>
        </w:rPr>
        <w:t xml:space="preserve"> e lesivas ao consumidor brasileiro. Além disso, </w:t>
      </w:r>
      <w:r w:rsidRPr="00F125C5">
        <w:rPr>
          <w:rFonts w:ascii="Arial" w:hAnsi="Arial" w:cs="Arial"/>
        </w:rPr>
        <w:t xml:space="preserve">por meio dos </w:t>
      </w:r>
      <w:r w:rsidR="00E505E1" w:rsidRPr="00F125C5">
        <w:rPr>
          <w:rFonts w:ascii="Arial" w:hAnsi="Arial" w:cs="Arial"/>
        </w:rPr>
        <w:t>contratos de exclusividade, as distribuidoras se tornam financiadoras da expansão das redes revendedoras e garantem a qualidade da oferta do produto.</w:t>
      </w:r>
    </w:p>
    <w:p w14:paraId="18407B41" w14:textId="0112B402" w:rsidR="008679E7" w:rsidRPr="00F125C5" w:rsidRDefault="007F55AD" w:rsidP="008679E7">
      <w:pPr>
        <w:pStyle w:val="PargrafodaLista"/>
        <w:spacing w:after="0" w:line="360" w:lineRule="auto"/>
        <w:ind w:left="0" w:firstLine="708"/>
        <w:jc w:val="both"/>
        <w:rPr>
          <w:rFonts w:ascii="Arial" w:hAnsi="Arial" w:cs="Arial"/>
          <w:b/>
        </w:rPr>
      </w:pPr>
      <w:r w:rsidRPr="00F125C5">
        <w:rPr>
          <w:rFonts w:ascii="Arial" w:hAnsi="Arial" w:cs="Arial"/>
        </w:rPr>
        <w:t>É nesse contexto que</w:t>
      </w:r>
      <w:r w:rsidR="00682F38" w:rsidRPr="00F125C5">
        <w:rPr>
          <w:rFonts w:ascii="Arial" w:hAnsi="Arial" w:cs="Arial"/>
        </w:rPr>
        <w:t xml:space="preserve">, ao menos no presente estado da discussão, </w:t>
      </w:r>
      <w:r w:rsidR="006653B1" w:rsidRPr="00F125C5">
        <w:rPr>
          <w:rFonts w:ascii="Arial" w:hAnsi="Arial" w:cs="Arial"/>
        </w:rPr>
        <w:t xml:space="preserve">não há garantia das supostas vantagens que um modelo regulatório que permitisse a verticalização apresentaria frente ao que atualmente existe no Brasil. </w:t>
      </w:r>
    </w:p>
    <w:p w14:paraId="7EF318D9" w14:textId="4C9A5753" w:rsidR="008679E7" w:rsidRPr="00F125C5" w:rsidRDefault="008679E7" w:rsidP="008679E7">
      <w:pPr>
        <w:spacing w:after="0" w:line="360" w:lineRule="auto"/>
        <w:ind w:firstLine="708"/>
        <w:jc w:val="both"/>
        <w:rPr>
          <w:rFonts w:ascii="Arial" w:hAnsi="Arial" w:cs="Arial"/>
        </w:rPr>
      </w:pPr>
      <w:r w:rsidRPr="00F125C5">
        <w:rPr>
          <w:rFonts w:ascii="Arial" w:hAnsi="Arial" w:cs="Arial"/>
        </w:rPr>
        <w:t xml:space="preserve">Apesar dos benefícios </w:t>
      </w:r>
      <w:r w:rsidR="00940EAD" w:rsidRPr="00F125C5">
        <w:rPr>
          <w:rFonts w:ascii="Arial" w:hAnsi="Arial" w:cs="Arial"/>
        </w:rPr>
        <w:t xml:space="preserve">esperados </w:t>
      </w:r>
      <w:r w:rsidRPr="00F125C5">
        <w:rPr>
          <w:rFonts w:ascii="Arial" w:hAnsi="Arial" w:cs="Arial"/>
        </w:rPr>
        <w:t>ao bem-estar do consumidor, oriundos das eficiências econômicas normalmente associadas à redução de custos de transação, há de se considerar que a verticalização pode não impactar de maneira significativa o preço final dos combustíveis, por três motivos principais.</w:t>
      </w:r>
    </w:p>
    <w:p w14:paraId="4F0D4846" w14:textId="04BE2A37" w:rsidR="008679E7" w:rsidRPr="00F125C5" w:rsidRDefault="008679E7" w:rsidP="008679E7">
      <w:pPr>
        <w:spacing w:after="0" w:line="360" w:lineRule="auto"/>
        <w:ind w:firstLine="708"/>
        <w:jc w:val="both"/>
        <w:rPr>
          <w:rFonts w:ascii="Arial" w:hAnsi="Arial" w:cs="Arial"/>
        </w:rPr>
      </w:pPr>
      <w:r w:rsidRPr="00F125C5">
        <w:rPr>
          <w:rFonts w:ascii="Arial" w:hAnsi="Arial" w:cs="Arial"/>
        </w:rPr>
        <w:t>O primeiro deles deriva da constatação da baixa margem de lucro na composição dos preços dos combustíveis líquidos, que têm como principais componentes a carga tributária incidente e o valor dos insumos.  Com efeito, os tributos</w:t>
      </w:r>
      <w:r w:rsidR="00A607E5" w:rsidRPr="00F125C5">
        <w:rPr>
          <w:rFonts w:ascii="Arial" w:hAnsi="Arial" w:cs="Arial"/>
        </w:rPr>
        <w:t xml:space="preserve"> e o preço do produtor </w:t>
      </w:r>
      <w:r w:rsidRPr="00F125C5">
        <w:rPr>
          <w:rFonts w:ascii="Arial" w:hAnsi="Arial" w:cs="Arial"/>
        </w:rPr>
        <w:t>constituem os elementos mais relevantes para conformação do preço final dos combustíveis</w:t>
      </w:r>
      <w:r w:rsidR="00940EAD" w:rsidRPr="00F125C5">
        <w:rPr>
          <w:rFonts w:ascii="Arial" w:hAnsi="Arial" w:cs="Arial"/>
        </w:rPr>
        <w:t xml:space="preserve"> no Brasil</w:t>
      </w:r>
      <w:r w:rsidRPr="00F125C5">
        <w:rPr>
          <w:rFonts w:ascii="Arial" w:hAnsi="Arial" w:cs="Arial"/>
        </w:rPr>
        <w:t xml:space="preserve">. Quando comparados com os demais componentes (fretes, margens da distribuição e da revenda e os custos com a produção dos próprios combustíveis), a relevância da tributação torna-se ainda mais expressiva. No caso da Gasolina C (Quadro 1), os tributos são cerca de 2,6 maiores do que os fretes e as margens, tanto da distribuição e da revenda, somados. No caso do Diesel (Quadro 2), </w:t>
      </w:r>
      <w:r w:rsidRPr="00F125C5">
        <w:rPr>
          <w:rFonts w:ascii="Arial" w:hAnsi="Arial" w:cs="Arial"/>
        </w:rPr>
        <w:lastRenderedPageBreak/>
        <w:t xml:space="preserve">os tributos são aproximadamente 1,46 maiores do que os fretes e margens da distribuição e revenda envolvidos na comercialização do combustível. </w:t>
      </w:r>
    </w:p>
    <w:p w14:paraId="4B9A809E" w14:textId="3787AA95" w:rsidR="008679E7" w:rsidRPr="00F125C5" w:rsidRDefault="008679E7" w:rsidP="008679E7">
      <w:pPr>
        <w:spacing w:after="0" w:line="360" w:lineRule="auto"/>
        <w:ind w:firstLine="708"/>
        <w:jc w:val="both"/>
        <w:rPr>
          <w:rFonts w:ascii="Arial" w:hAnsi="Arial" w:cs="Arial"/>
        </w:rPr>
      </w:pPr>
      <w:r w:rsidRPr="00F125C5">
        <w:rPr>
          <w:rFonts w:ascii="Arial" w:hAnsi="Arial" w:cs="Arial"/>
        </w:rPr>
        <w:t>Em termos percentuais, também se observa uma baixa participação dos fretes e das margens da distribuição e da revenda, ao passo em que a tributação permanece especialmente relevante. Para a Gasolina C (Quadro 1), os tributos representam 42,3% (27,0% ICMS, de competência estadual e 15,3% PIS/</w:t>
      </w:r>
      <w:proofErr w:type="spellStart"/>
      <w:r w:rsidRPr="00F125C5">
        <w:rPr>
          <w:rFonts w:ascii="Arial" w:hAnsi="Arial" w:cs="Arial"/>
        </w:rPr>
        <w:t>Cofins</w:t>
      </w:r>
      <w:proofErr w:type="spellEnd"/>
      <w:r w:rsidRPr="00F125C5">
        <w:rPr>
          <w:rFonts w:ascii="Arial" w:hAnsi="Arial" w:cs="Arial"/>
        </w:rPr>
        <w:t xml:space="preserve"> e CIDE, de competência federal, média nacional) e os custos e margens de produção e refino representam 41,2% do preço final do produto. Fretes e margens da distribuição e da revenda, portanto,</w:t>
      </w:r>
      <w:r w:rsidRPr="00F125C5" w:rsidDel="002F1B0C">
        <w:rPr>
          <w:rFonts w:ascii="Arial" w:hAnsi="Arial" w:cs="Arial"/>
        </w:rPr>
        <w:t xml:space="preserve"> </w:t>
      </w:r>
      <w:r w:rsidRPr="00F125C5">
        <w:rPr>
          <w:rFonts w:ascii="Arial" w:hAnsi="Arial" w:cs="Arial"/>
        </w:rPr>
        <w:t>representam apenas 16,6% do preço. No caso do Diesel (Quadro 2), 23,3% são tributos (13,5% ICMS e 9,8% PIS/</w:t>
      </w:r>
      <w:proofErr w:type="spellStart"/>
      <w:r w:rsidRPr="00F125C5">
        <w:rPr>
          <w:rFonts w:ascii="Arial" w:hAnsi="Arial" w:cs="Arial"/>
        </w:rPr>
        <w:t>Cofins</w:t>
      </w:r>
      <w:proofErr w:type="spellEnd"/>
      <w:r w:rsidRPr="00F125C5">
        <w:rPr>
          <w:rFonts w:ascii="Arial" w:hAnsi="Arial" w:cs="Arial"/>
        </w:rPr>
        <w:t xml:space="preserve"> e CIDE), 61% são custos e margens de produção e refino e apenas 15,8% do preço provém de fretes e margens da distribuição e da revenda. </w:t>
      </w:r>
    </w:p>
    <w:p w14:paraId="2392AF46" w14:textId="609B9488" w:rsidR="00574928" w:rsidRPr="00F125C5" w:rsidRDefault="008679E7" w:rsidP="003C3F06">
      <w:pPr>
        <w:spacing w:after="0" w:line="360" w:lineRule="auto"/>
        <w:ind w:firstLine="708"/>
        <w:jc w:val="both"/>
        <w:rPr>
          <w:rFonts w:ascii="Arial" w:hAnsi="Arial" w:cs="Arial"/>
          <w:b/>
        </w:rPr>
      </w:pPr>
      <w:r w:rsidRPr="00F125C5">
        <w:rPr>
          <w:rFonts w:ascii="Arial" w:hAnsi="Arial" w:cs="Arial"/>
        </w:rPr>
        <w:t>Igualmente importante notar que, ao contrário de diversos setores da economia que receberam expressivas desonerações, o setor de combustíveis foi onerado em diversas oportunidades (e essas onerações permaneceram em grande medida, a despeito das medidas mais recentes de subvenção ao diesel). Somente em 2017, por exemplo, o aumento da CIDE e de PIS/</w:t>
      </w:r>
      <w:proofErr w:type="spellStart"/>
      <w:r w:rsidRPr="00F125C5">
        <w:rPr>
          <w:rFonts w:ascii="Arial" w:hAnsi="Arial" w:cs="Arial"/>
        </w:rPr>
        <w:t>Cofins</w:t>
      </w:r>
      <w:proofErr w:type="spellEnd"/>
      <w:r w:rsidRPr="00F125C5">
        <w:rPr>
          <w:rFonts w:ascii="Arial" w:hAnsi="Arial" w:cs="Arial"/>
        </w:rPr>
        <w:t xml:space="preserve"> representou cerca de R$ 0,303 (trinta centavos) por litro no preço da Gasolina C.</w:t>
      </w:r>
    </w:p>
    <w:p w14:paraId="2FFBB85C" w14:textId="77777777" w:rsidR="003C3F06" w:rsidRPr="00F125C5" w:rsidRDefault="003C3F06" w:rsidP="003C3F06">
      <w:pPr>
        <w:spacing w:after="0" w:line="360" w:lineRule="auto"/>
        <w:ind w:left="2124" w:firstLine="708"/>
        <w:jc w:val="both"/>
        <w:rPr>
          <w:rFonts w:ascii="Arial" w:hAnsi="Arial" w:cs="Arial"/>
          <w:b/>
        </w:rPr>
      </w:pPr>
    </w:p>
    <w:p w14:paraId="60DC4399" w14:textId="04363E2B" w:rsidR="008679E7" w:rsidRPr="00F125C5" w:rsidRDefault="008679E7" w:rsidP="00E71583">
      <w:pPr>
        <w:spacing w:after="0" w:line="360" w:lineRule="auto"/>
        <w:ind w:left="2124" w:firstLine="708"/>
        <w:rPr>
          <w:rFonts w:ascii="Arial" w:hAnsi="Arial" w:cs="Arial"/>
          <w:b/>
        </w:rPr>
      </w:pPr>
      <w:r w:rsidRPr="00F125C5">
        <w:rPr>
          <w:rFonts w:ascii="Arial" w:hAnsi="Arial" w:cs="Arial"/>
          <w:b/>
        </w:rPr>
        <w:t>Quadro 1 – Preço Gasolina C</w:t>
      </w:r>
      <w:r w:rsidRPr="00F125C5">
        <w:rPr>
          <w:rFonts w:ascii="Arial" w:hAnsi="Arial" w:cs="Arial"/>
          <w:b/>
          <w:vertAlign w:val="superscript"/>
        </w:rPr>
        <w:footnoteReference w:id="38"/>
      </w:r>
    </w:p>
    <w:p w14:paraId="7D1A2922" w14:textId="77777777" w:rsidR="008679E7" w:rsidRPr="00F125C5" w:rsidRDefault="008679E7" w:rsidP="008679E7">
      <w:pPr>
        <w:spacing w:after="0" w:line="360" w:lineRule="auto"/>
        <w:jc w:val="center"/>
        <w:rPr>
          <w:rFonts w:ascii="Arial" w:hAnsi="Arial" w:cs="Arial"/>
          <w:b/>
        </w:rPr>
      </w:pPr>
      <w:r w:rsidRPr="00F125C5">
        <w:rPr>
          <w:rFonts w:ascii="Arial" w:hAnsi="Arial" w:cs="Arial"/>
          <w:noProof/>
          <w:lang w:eastAsia="pt-BR"/>
        </w:rPr>
        <w:drawing>
          <wp:inline distT="0" distB="0" distL="0" distR="0" wp14:anchorId="047593BD" wp14:editId="649B7B51">
            <wp:extent cx="5344387" cy="2863850"/>
            <wp:effectExtent l="0" t="0" r="889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4736"/>
                    <a:stretch/>
                  </pic:blipFill>
                  <pic:spPr bwMode="auto">
                    <a:xfrm>
                      <a:off x="0" y="0"/>
                      <a:ext cx="5637587" cy="3020965"/>
                    </a:xfrm>
                    <a:prstGeom prst="rect">
                      <a:avLst/>
                    </a:prstGeom>
                    <a:ln>
                      <a:noFill/>
                    </a:ln>
                    <a:extLst>
                      <a:ext uri="{53640926-AAD7-44D8-BBD7-CCE9431645EC}">
                        <a14:shadowObscured xmlns:a14="http://schemas.microsoft.com/office/drawing/2010/main"/>
                      </a:ext>
                    </a:extLst>
                  </pic:spPr>
                </pic:pic>
              </a:graphicData>
            </a:graphic>
          </wp:inline>
        </w:drawing>
      </w:r>
    </w:p>
    <w:p w14:paraId="6FA8F469" w14:textId="77777777" w:rsidR="008679E7" w:rsidRPr="00F125C5" w:rsidRDefault="008679E7" w:rsidP="008679E7">
      <w:pPr>
        <w:spacing w:after="0" w:line="360" w:lineRule="auto"/>
        <w:ind w:firstLine="708"/>
        <w:jc w:val="center"/>
        <w:rPr>
          <w:rFonts w:ascii="Arial" w:hAnsi="Arial" w:cs="Arial"/>
          <w:b/>
        </w:rPr>
      </w:pPr>
    </w:p>
    <w:p w14:paraId="1F523C35" w14:textId="7A9C31B6" w:rsidR="00F125C5" w:rsidRPr="00F125C5" w:rsidRDefault="00F125C5">
      <w:pPr>
        <w:spacing w:after="160" w:line="259" w:lineRule="auto"/>
        <w:rPr>
          <w:rFonts w:ascii="Arial" w:hAnsi="Arial" w:cs="Arial"/>
          <w:b/>
        </w:rPr>
      </w:pPr>
    </w:p>
    <w:p w14:paraId="3FB5521C" w14:textId="4DD5D4D1" w:rsidR="008679E7" w:rsidRPr="00F125C5" w:rsidRDefault="008679E7" w:rsidP="00A22C8D">
      <w:pPr>
        <w:spacing w:after="0" w:line="360" w:lineRule="auto"/>
        <w:ind w:left="2124" w:firstLine="708"/>
        <w:rPr>
          <w:rFonts w:ascii="Arial" w:hAnsi="Arial" w:cs="Arial"/>
          <w:b/>
        </w:rPr>
      </w:pPr>
      <w:r w:rsidRPr="00F125C5">
        <w:rPr>
          <w:rFonts w:ascii="Arial" w:hAnsi="Arial" w:cs="Arial"/>
          <w:b/>
        </w:rPr>
        <w:t>Quadro 2 – Preço Diesel</w:t>
      </w:r>
      <w:r w:rsidRPr="00F125C5">
        <w:rPr>
          <w:rFonts w:ascii="Arial" w:hAnsi="Arial" w:cs="Arial"/>
          <w:b/>
          <w:vertAlign w:val="superscript"/>
        </w:rPr>
        <w:footnoteReference w:id="39"/>
      </w:r>
    </w:p>
    <w:p w14:paraId="2A1BE0A7" w14:textId="77777777" w:rsidR="008679E7" w:rsidRPr="00F125C5" w:rsidRDefault="008679E7" w:rsidP="008679E7">
      <w:pPr>
        <w:spacing w:after="0" w:line="360" w:lineRule="auto"/>
        <w:jc w:val="center"/>
        <w:rPr>
          <w:rFonts w:ascii="Arial" w:hAnsi="Arial" w:cs="Arial"/>
        </w:rPr>
      </w:pPr>
      <w:r w:rsidRPr="00F125C5">
        <w:rPr>
          <w:rFonts w:ascii="Arial" w:hAnsi="Arial" w:cs="Arial"/>
          <w:noProof/>
          <w:lang w:eastAsia="pt-BR"/>
        </w:rPr>
        <w:drawing>
          <wp:inline distT="0" distB="0" distL="0" distR="0" wp14:anchorId="081407A7" wp14:editId="2A72555E">
            <wp:extent cx="5360083" cy="287642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 b="4598"/>
                    <a:stretch/>
                  </pic:blipFill>
                  <pic:spPr bwMode="auto">
                    <a:xfrm>
                      <a:off x="0" y="0"/>
                      <a:ext cx="5545382" cy="2975864"/>
                    </a:xfrm>
                    <a:prstGeom prst="rect">
                      <a:avLst/>
                    </a:prstGeom>
                    <a:ln>
                      <a:noFill/>
                    </a:ln>
                    <a:extLst>
                      <a:ext uri="{53640926-AAD7-44D8-BBD7-CCE9431645EC}">
                        <a14:shadowObscured xmlns:a14="http://schemas.microsoft.com/office/drawing/2010/main"/>
                      </a:ext>
                    </a:extLst>
                  </pic:spPr>
                </pic:pic>
              </a:graphicData>
            </a:graphic>
          </wp:inline>
        </w:drawing>
      </w:r>
    </w:p>
    <w:p w14:paraId="32F10320" w14:textId="77777777" w:rsidR="00F125C5" w:rsidRPr="00C962FD" w:rsidRDefault="00F125C5" w:rsidP="00C962FD">
      <w:pPr>
        <w:spacing w:after="0" w:line="360" w:lineRule="auto"/>
        <w:ind w:firstLine="708"/>
        <w:jc w:val="both"/>
        <w:rPr>
          <w:rFonts w:ascii="Arial" w:hAnsi="Arial" w:cs="Arial"/>
        </w:rPr>
      </w:pPr>
    </w:p>
    <w:p w14:paraId="6311ABFA" w14:textId="07128397" w:rsidR="00F125C5" w:rsidRPr="00F125C5" w:rsidRDefault="00F125C5" w:rsidP="00C962FD">
      <w:pPr>
        <w:spacing w:after="0" w:line="360" w:lineRule="auto"/>
        <w:ind w:firstLine="708"/>
        <w:jc w:val="both"/>
        <w:rPr>
          <w:rFonts w:ascii="Arial" w:hAnsi="Arial" w:cs="Arial"/>
        </w:rPr>
      </w:pPr>
      <w:r w:rsidRPr="00F125C5">
        <w:rPr>
          <w:rFonts w:ascii="Arial" w:hAnsi="Arial" w:cs="Arial"/>
        </w:rPr>
        <w:t>No caso do Etanol, por fim, somente os tributos (ICMS e PIS/</w:t>
      </w:r>
      <w:proofErr w:type="spellStart"/>
      <w:r w:rsidRPr="00F125C5">
        <w:rPr>
          <w:rFonts w:ascii="Arial" w:hAnsi="Arial" w:cs="Arial"/>
        </w:rPr>
        <w:t>Cofins</w:t>
      </w:r>
      <w:proofErr w:type="spellEnd"/>
      <w:r w:rsidRPr="00F125C5">
        <w:rPr>
          <w:rFonts w:ascii="Arial" w:hAnsi="Arial" w:cs="Arial"/>
        </w:rPr>
        <w:t>, média nacional) compõem cerca 26% do preço final ao consumidor</w:t>
      </w:r>
      <w:r w:rsidR="006D6062">
        <w:rPr>
          <w:rStyle w:val="Refdenotaderodap"/>
          <w:rFonts w:ascii="Arial" w:hAnsi="Arial" w:cs="Arial"/>
        </w:rPr>
        <w:footnoteReference w:id="40"/>
      </w:r>
      <w:r w:rsidR="006D6062">
        <w:rPr>
          <w:rFonts w:ascii="Arial" w:hAnsi="Arial" w:cs="Arial"/>
        </w:rPr>
        <w:t>.</w:t>
      </w:r>
      <w:r w:rsidRPr="00F125C5">
        <w:rPr>
          <w:rFonts w:ascii="Arial" w:hAnsi="Arial" w:cs="Arial"/>
        </w:rPr>
        <w:t xml:space="preserve"> O Quadro 3 apresenta a composição média do preço do etanol hidratado, com base em dados coletados no estado do Rio de Janeiro. No período analisado, os tributos corresponderam a cerca de 26,9% do preço do litro de etanol vendido (R$0,92 de R$3,44).</w:t>
      </w:r>
    </w:p>
    <w:p w14:paraId="33A7A133" w14:textId="631C0E29" w:rsidR="00C51BA3" w:rsidRPr="00F125C5" w:rsidRDefault="003E47DB" w:rsidP="00C962FD">
      <w:pPr>
        <w:spacing w:after="160" w:line="259" w:lineRule="auto"/>
        <w:rPr>
          <w:rFonts w:ascii="Arial" w:hAnsi="Arial" w:cs="Arial"/>
          <w:b/>
        </w:rPr>
      </w:pPr>
      <w:r w:rsidRPr="00F125C5">
        <w:rPr>
          <w:rFonts w:ascii="Arial" w:hAnsi="Arial" w:cs="Arial"/>
          <w:b/>
        </w:rPr>
        <w:br w:type="page"/>
      </w:r>
    </w:p>
    <w:p w14:paraId="0285E3E0" w14:textId="3FFCEEF5" w:rsidR="00C51BA3" w:rsidRPr="00F125C5" w:rsidRDefault="00C51BA3" w:rsidP="0042663D">
      <w:pPr>
        <w:spacing w:after="0" w:line="360" w:lineRule="auto"/>
        <w:jc w:val="center"/>
        <w:rPr>
          <w:rFonts w:ascii="Arial" w:hAnsi="Arial" w:cs="Arial"/>
          <w:b/>
        </w:rPr>
      </w:pPr>
      <w:r w:rsidRPr="00F125C5">
        <w:rPr>
          <w:rFonts w:ascii="Arial" w:hAnsi="Arial" w:cs="Arial"/>
          <w:b/>
        </w:rPr>
        <w:lastRenderedPageBreak/>
        <w:t>Quadro 3 – Preço Etanol Hidratado</w:t>
      </w:r>
      <w:r w:rsidR="00717B7D" w:rsidRPr="00F125C5">
        <w:rPr>
          <w:rFonts w:ascii="Arial" w:hAnsi="Arial" w:cs="Arial"/>
          <w:b/>
        </w:rPr>
        <w:t xml:space="preserve"> (RJ - dez./2016)</w:t>
      </w:r>
      <w:r w:rsidRPr="00F125C5">
        <w:rPr>
          <w:rFonts w:ascii="Arial" w:hAnsi="Arial" w:cs="Arial"/>
          <w:b/>
          <w:vertAlign w:val="superscript"/>
        </w:rPr>
        <w:footnoteReference w:id="41"/>
      </w:r>
    </w:p>
    <w:p w14:paraId="0A863067" w14:textId="5E06C33C" w:rsidR="008679E7" w:rsidRPr="00F125C5" w:rsidRDefault="008679E7" w:rsidP="008679E7">
      <w:pPr>
        <w:spacing w:after="0" w:line="360" w:lineRule="auto"/>
        <w:ind w:firstLine="708"/>
        <w:jc w:val="both"/>
        <w:rPr>
          <w:rFonts w:ascii="Arial" w:hAnsi="Arial" w:cs="Arial"/>
        </w:rPr>
      </w:pPr>
    </w:p>
    <w:p w14:paraId="447CCB09" w14:textId="48E42084" w:rsidR="00C51BA3" w:rsidRPr="00F125C5" w:rsidRDefault="00C235BC" w:rsidP="008679E7">
      <w:pPr>
        <w:spacing w:after="0" w:line="360" w:lineRule="auto"/>
        <w:ind w:firstLine="708"/>
        <w:jc w:val="both"/>
        <w:rPr>
          <w:rFonts w:ascii="Arial" w:hAnsi="Arial" w:cs="Arial"/>
        </w:rPr>
      </w:pPr>
      <w:r w:rsidRPr="00F125C5">
        <w:rPr>
          <w:rFonts w:ascii="Arial" w:hAnsi="Arial" w:cs="Arial"/>
          <w:noProof/>
          <w:lang w:eastAsia="pt-BR"/>
        </w:rPr>
        <w:drawing>
          <wp:inline distT="0" distB="0" distL="0" distR="0" wp14:anchorId="2B1225C6" wp14:editId="6AA7DDAF">
            <wp:extent cx="4603806" cy="3538330"/>
            <wp:effectExtent l="0" t="0" r="6350" b="508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FD9241F" w14:textId="77777777" w:rsidR="00333EFB" w:rsidRPr="00F125C5" w:rsidRDefault="00333EFB" w:rsidP="008679E7">
      <w:pPr>
        <w:spacing w:after="0" w:line="360" w:lineRule="auto"/>
        <w:ind w:firstLine="708"/>
        <w:jc w:val="both"/>
        <w:rPr>
          <w:rFonts w:ascii="Arial" w:hAnsi="Arial" w:cs="Arial"/>
        </w:rPr>
      </w:pPr>
    </w:p>
    <w:p w14:paraId="58FB88B4" w14:textId="3E1F2649" w:rsidR="008679E7" w:rsidRPr="00F125C5" w:rsidRDefault="008679E7" w:rsidP="008679E7">
      <w:pPr>
        <w:spacing w:after="0" w:line="360" w:lineRule="auto"/>
        <w:ind w:firstLine="708"/>
        <w:jc w:val="both"/>
        <w:rPr>
          <w:rFonts w:ascii="Arial" w:hAnsi="Arial" w:cs="Arial"/>
        </w:rPr>
      </w:pPr>
      <w:r w:rsidRPr="00F125C5">
        <w:rPr>
          <w:rFonts w:ascii="Arial" w:hAnsi="Arial" w:cs="Arial"/>
        </w:rPr>
        <w:t xml:space="preserve">Deste modo, as baixas margens de lucro da distribuição e da revenda quando comparados com os demais componentes dos preços dos combustíveis, em especial a tributação, nos parece um forte argumento para sustentar que eventual permissão de verticalização no setor não implicaria uma redução expressiva de preços ao consumidor, por meio da suposta eliminação de uma margem de um dos elos da cadeia. </w:t>
      </w:r>
      <w:r w:rsidR="00AE6F1B" w:rsidRPr="00F125C5">
        <w:rPr>
          <w:rFonts w:ascii="Arial" w:hAnsi="Arial" w:cs="Arial"/>
        </w:rPr>
        <w:t>No</w:t>
      </w:r>
      <w:r w:rsidR="0060498F" w:rsidRPr="00F125C5">
        <w:rPr>
          <w:rFonts w:ascii="Arial" w:hAnsi="Arial" w:cs="Arial"/>
        </w:rPr>
        <w:t xml:space="preserve"> mais, a ANP deveria se debruçar </w:t>
      </w:r>
      <w:r w:rsidR="007143B6" w:rsidRPr="00F125C5">
        <w:rPr>
          <w:rFonts w:ascii="Arial" w:hAnsi="Arial" w:cs="Arial"/>
        </w:rPr>
        <w:t>à</w:t>
      </w:r>
      <w:r w:rsidR="0060498F" w:rsidRPr="00F125C5">
        <w:rPr>
          <w:rFonts w:ascii="Arial" w:hAnsi="Arial" w:cs="Arial"/>
        </w:rPr>
        <w:t xml:space="preserve"> </w:t>
      </w:r>
      <w:r w:rsidR="007143B6" w:rsidRPr="00F125C5">
        <w:rPr>
          <w:rFonts w:ascii="Arial" w:hAnsi="Arial" w:cs="Arial"/>
        </w:rPr>
        <w:t>verificação de</w:t>
      </w:r>
      <w:r w:rsidR="0060498F" w:rsidRPr="00F125C5">
        <w:rPr>
          <w:rFonts w:ascii="Arial" w:hAnsi="Arial" w:cs="Arial"/>
        </w:rPr>
        <w:t xml:space="preserve"> se, </w:t>
      </w:r>
      <w:r w:rsidR="005D16CF" w:rsidRPr="00F125C5">
        <w:rPr>
          <w:rFonts w:ascii="Arial" w:hAnsi="Arial" w:cs="Arial"/>
        </w:rPr>
        <w:t>concretamente</w:t>
      </w:r>
      <w:r w:rsidR="0060498F" w:rsidRPr="00F125C5">
        <w:rPr>
          <w:rFonts w:ascii="Arial" w:hAnsi="Arial" w:cs="Arial"/>
        </w:rPr>
        <w:t xml:space="preserve">, </w:t>
      </w:r>
      <w:r w:rsidR="005D16CF" w:rsidRPr="00F125C5">
        <w:rPr>
          <w:rFonts w:ascii="Arial" w:hAnsi="Arial" w:cs="Arial"/>
        </w:rPr>
        <w:t>a verticalização</w:t>
      </w:r>
      <w:r w:rsidR="00876FE5" w:rsidRPr="00F125C5">
        <w:rPr>
          <w:rFonts w:ascii="Arial" w:hAnsi="Arial" w:cs="Arial"/>
        </w:rPr>
        <w:t xml:space="preserve"> eliminaria ou reduziria </w:t>
      </w:r>
      <w:r w:rsidR="007143B6" w:rsidRPr="00F125C5">
        <w:rPr>
          <w:rFonts w:ascii="Arial" w:hAnsi="Arial" w:cs="Arial"/>
        </w:rPr>
        <w:t>a</w:t>
      </w:r>
      <w:r w:rsidR="00876FE5" w:rsidRPr="00F125C5">
        <w:rPr>
          <w:rFonts w:ascii="Arial" w:hAnsi="Arial" w:cs="Arial"/>
        </w:rPr>
        <w:t xml:space="preserve"> dupla margem, tendo em vista </w:t>
      </w:r>
      <w:r w:rsidR="005D16CF" w:rsidRPr="00F125C5">
        <w:rPr>
          <w:rFonts w:ascii="Arial" w:hAnsi="Arial" w:cs="Arial"/>
        </w:rPr>
        <w:t>o interesse natural de remuneração do conjunto de investimentos nos diferentes elos da cadeia</w:t>
      </w:r>
      <w:r w:rsidR="007143B6" w:rsidRPr="00F125C5">
        <w:rPr>
          <w:rFonts w:ascii="Arial" w:hAnsi="Arial" w:cs="Arial"/>
        </w:rPr>
        <w:t xml:space="preserve"> verticalizados</w:t>
      </w:r>
      <w:r w:rsidR="005D16CF" w:rsidRPr="00F125C5">
        <w:rPr>
          <w:rFonts w:ascii="Arial" w:hAnsi="Arial" w:cs="Arial"/>
        </w:rPr>
        <w:t xml:space="preserve">. </w:t>
      </w:r>
      <w:r w:rsidR="006479DC" w:rsidRPr="00F125C5">
        <w:rPr>
          <w:rFonts w:ascii="Arial" w:hAnsi="Arial" w:cs="Arial"/>
        </w:rPr>
        <w:t xml:space="preserve">Parece otimista e até ingênuo concluir que agentes verticalizados repassariam as eficiências obtidas com a eliminação da dupla margem para o consumidor, ao invés de incorporá-las ao próprio resultado. </w:t>
      </w:r>
      <w:r w:rsidRPr="00F125C5">
        <w:rPr>
          <w:rFonts w:ascii="Arial" w:hAnsi="Arial" w:cs="Arial"/>
        </w:rPr>
        <w:t xml:space="preserve">Estudos mais detalhados sobre o mercado brasileiro deveriam ser elaborados e discutidos no âmbito da ANP para demonstrar ou sugerir o real impacto da verticalização nos preços dos combustíveis. </w:t>
      </w:r>
    </w:p>
    <w:p w14:paraId="44B83E74" w14:textId="33BFFB4F" w:rsidR="008679E7" w:rsidRPr="00F125C5" w:rsidRDefault="008679E7" w:rsidP="008679E7">
      <w:pPr>
        <w:spacing w:after="0" w:line="360" w:lineRule="auto"/>
        <w:ind w:firstLine="708"/>
        <w:jc w:val="both"/>
        <w:rPr>
          <w:rFonts w:ascii="Arial" w:hAnsi="Arial" w:cs="Arial"/>
        </w:rPr>
      </w:pPr>
      <w:r w:rsidRPr="00F125C5">
        <w:rPr>
          <w:rFonts w:ascii="Arial" w:hAnsi="Arial" w:cs="Arial"/>
        </w:rPr>
        <w:t xml:space="preserve">O segundo motivo pelo qual permitir a verticalização não pode ser considerado um sinônimo de redução de preços diz respeito à constatação de que, apesar da </w:t>
      </w:r>
      <w:r w:rsidRPr="00F125C5">
        <w:rPr>
          <w:rFonts w:ascii="Arial" w:hAnsi="Arial" w:cs="Arial"/>
        </w:rPr>
        <w:lastRenderedPageBreak/>
        <w:t>mudança regulatória, é possível que as distribuidoras optem por não se verticalizar em larga escala, tendo em vista (i) os custos operacionais e jurídicos associados à atividade de revenda; (</w:t>
      </w:r>
      <w:proofErr w:type="spellStart"/>
      <w:r w:rsidRPr="00F125C5">
        <w:rPr>
          <w:rFonts w:ascii="Arial" w:hAnsi="Arial" w:cs="Arial"/>
        </w:rPr>
        <w:t>ii</w:t>
      </w:r>
      <w:proofErr w:type="spellEnd"/>
      <w:r w:rsidRPr="00F125C5">
        <w:rPr>
          <w:rFonts w:ascii="Arial" w:hAnsi="Arial" w:cs="Arial"/>
        </w:rPr>
        <w:t>) à menor escala do segmento de revenda, em função da maior capilaridade; e (</w:t>
      </w:r>
      <w:proofErr w:type="spellStart"/>
      <w:r w:rsidRPr="00F125C5">
        <w:rPr>
          <w:rFonts w:ascii="Arial" w:hAnsi="Arial" w:cs="Arial"/>
        </w:rPr>
        <w:t>iii</w:t>
      </w:r>
      <w:proofErr w:type="spellEnd"/>
      <w:r w:rsidRPr="00F125C5">
        <w:rPr>
          <w:rFonts w:ascii="Arial" w:hAnsi="Arial" w:cs="Arial"/>
        </w:rPr>
        <w:t xml:space="preserve">) os custos de capital associados à estratégia de verticalização. Vale ressaltar mais uma vez que, nos países em que há uma limitação da participação da distribuição na revenda a um determinado percentual do mercado de revenda, as distribuidoras não alcançam esse limite, o que pode sugerir dificuldades adicionais que afastam as distribuidoras deste tipo de investimentos. </w:t>
      </w:r>
    </w:p>
    <w:p w14:paraId="6B40B28B" w14:textId="77777777" w:rsidR="008679E7" w:rsidRPr="00F125C5" w:rsidRDefault="008679E7" w:rsidP="008679E7">
      <w:pPr>
        <w:spacing w:after="0" w:line="360" w:lineRule="auto"/>
        <w:ind w:firstLine="708"/>
        <w:jc w:val="both"/>
        <w:rPr>
          <w:rFonts w:ascii="Arial" w:hAnsi="Arial" w:cs="Arial"/>
        </w:rPr>
      </w:pPr>
      <w:r w:rsidRPr="00F125C5">
        <w:rPr>
          <w:rFonts w:ascii="Arial" w:hAnsi="Arial" w:cs="Arial"/>
        </w:rPr>
        <w:t>A ANP já analisou o efeito da verticalização no mercado de revenda de GLP, em que, diferentemente do mercado de combustíveis, é permitido ao distribuidor comercializar o produto não somente com agente revendedor, mas também com o consumidor final (diretamente ou por meio de revenda própria, desde que autorizado pela ANP).</w:t>
      </w:r>
      <w:r w:rsidRPr="00F125C5">
        <w:rPr>
          <w:rStyle w:val="Refdenotaderodap"/>
          <w:rFonts w:ascii="Arial" w:hAnsi="Arial" w:cs="Arial"/>
        </w:rPr>
        <w:footnoteReference w:id="42"/>
      </w:r>
      <w:r w:rsidRPr="00F125C5">
        <w:rPr>
          <w:rFonts w:ascii="Arial" w:hAnsi="Arial" w:cs="Arial"/>
        </w:rPr>
        <w:t xml:space="preserve"> O resultado da análise mostrou justamente que nem todas as distribuidoras efetuaram venda direta ao consumidor final. Além disso, a partir da análise dos preços constantes de notas fiscais eletrônicas (NF-e) declaradas pelos distribuidores de GLP, relativas às vendas de recipientes transportáveis de GLP de 45kg no mês de agosto de 2015, nos municípios do Rio de Janeiro e de Cuiabá, percebeu-se que, na média, o preço de venda praticado pelo distribuidor ao consumidor final é superior ao preço de venda praticado ao revendedor de GLP. Isso confirma que as economias proporcionadas pela maior integração entre diferentes elos da cadeia não repercutem necessariamente no aumento do bem-estar do consumidor final, já que mesmo a venda direta pelo próprio distribuidor mostrou-se incapaz de provocar a redução do nível de preços. Pior, provavelmente por questões logísticas, a venda direta acabou tendo um preço superior do que a venda realizada por meio do revendedor.</w:t>
      </w:r>
    </w:p>
    <w:p w14:paraId="2A220C18" w14:textId="09FDD020" w:rsidR="00F5691F" w:rsidRPr="00F125C5" w:rsidRDefault="00894481" w:rsidP="0042663D">
      <w:pPr>
        <w:pStyle w:val="PargrafodaLista"/>
        <w:spacing w:after="0" w:line="360" w:lineRule="auto"/>
        <w:ind w:left="0" w:firstLine="708"/>
        <w:jc w:val="both"/>
        <w:rPr>
          <w:rFonts w:ascii="Arial" w:hAnsi="Arial" w:cs="Arial"/>
        </w:rPr>
      </w:pPr>
      <w:r w:rsidRPr="00F125C5">
        <w:rPr>
          <w:rFonts w:ascii="Arial" w:hAnsi="Arial" w:cs="Arial"/>
        </w:rPr>
        <w:t xml:space="preserve">Por tudo quanto exposto, não há garantia das supostas vantagens que um processo de verticalização </w:t>
      </w:r>
      <w:r w:rsidR="0080366F" w:rsidRPr="00F125C5">
        <w:rPr>
          <w:rFonts w:ascii="Arial" w:hAnsi="Arial" w:cs="Arial"/>
        </w:rPr>
        <w:t xml:space="preserve">entre distribuidores e revendedores </w:t>
      </w:r>
      <w:r w:rsidRPr="00F125C5">
        <w:rPr>
          <w:rFonts w:ascii="Arial" w:hAnsi="Arial" w:cs="Arial"/>
        </w:rPr>
        <w:t>no mercado de combustíveis apresentaria em relação ao modelo atual.</w:t>
      </w:r>
      <w:r w:rsidR="0080366F" w:rsidRPr="00F125C5">
        <w:rPr>
          <w:rFonts w:ascii="Arial" w:hAnsi="Arial" w:cs="Arial"/>
        </w:rPr>
        <w:t xml:space="preserve"> Passamos, então, a avaliar os potenciais impactos da permissão a verticalização em outros elos da cadeia para além de distribuidores e revendedores. </w:t>
      </w:r>
    </w:p>
    <w:p w14:paraId="6926055C" w14:textId="1D1425A6" w:rsidR="006D6062" w:rsidRDefault="006D6062">
      <w:pPr>
        <w:spacing w:after="160" w:line="259" w:lineRule="auto"/>
        <w:rPr>
          <w:rFonts w:ascii="Arial" w:hAnsi="Arial" w:cs="Arial"/>
          <w:b/>
        </w:rPr>
      </w:pPr>
      <w:r>
        <w:rPr>
          <w:rFonts w:ascii="Arial" w:hAnsi="Arial" w:cs="Arial"/>
          <w:b/>
        </w:rPr>
        <w:br w:type="page"/>
      </w:r>
    </w:p>
    <w:p w14:paraId="28F502AF" w14:textId="77777777" w:rsidR="0080366F" w:rsidRPr="00F125C5" w:rsidRDefault="0080366F" w:rsidP="0080366F">
      <w:pPr>
        <w:pStyle w:val="PargrafodaLista"/>
        <w:spacing w:after="0" w:line="360" w:lineRule="auto"/>
        <w:ind w:left="0"/>
        <w:jc w:val="both"/>
        <w:rPr>
          <w:rFonts w:ascii="Arial" w:hAnsi="Arial" w:cs="Arial"/>
          <w:b/>
        </w:rPr>
      </w:pPr>
    </w:p>
    <w:p w14:paraId="091E98B1" w14:textId="0E49FEC6" w:rsidR="00E91015" w:rsidRDefault="006D6062" w:rsidP="006D6062">
      <w:pPr>
        <w:spacing w:after="0" w:line="360" w:lineRule="auto"/>
        <w:jc w:val="both"/>
        <w:rPr>
          <w:rFonts w:ascii="Arial" w:hAnsi="Arial" w:cs="Arial"/>
          <w:b/>
        </w:rPr>
      </w:pPr>
      <w:r>
        <w:rPr>
          <w:rFonts w:ascii="Arial" w:hAnsi="Arial" w:cs="Arial"/>
          <w:b/>
        </w:rPr>
        <w:t xml:space="preserve">4.1. </w:t>
      </w:r>
      <w:r w:rsidR="007353BD" w:rsidRPr="006D6062">
        <w:rPr>
          <w:rFonts w:ascii="Arial" w:hAnsi="Arial" w:cs="Arial"/>
          <w:b/>
        </w:rPr>
        <w:t xml:space="preserve">Impactos de </w:t>
      </w:r>
      <w:r w:rsidR="00A439A0" w:rsidRPr="006D6062">
        <w:rPr>
          <w:rFonts w:ascii="Arial" w:hAnsi="Arial" w:cs="Arial"/>
          <w:b/>
        </w:rPr>
        <w:t xml:space="preserve">eventual </w:t>
      </w:r>
      <w:r w:rsidR="00BA681F" w:rsidRPr="006D6062">
        <w:rPr>
          <w:rFonts w:ascii="Arial" w:hAnsi="Arial" w:cs="Arial"/>
          <w:b/>
        </w:rPr>
        <w:t xml:space="preserve">fim da vedação de comercialização direta </w:t>
      </w:r>
      <w:r w:rsidR="008D0584" w:rsidRPr="006D6062">
        <w:rPr>
          <w:rFonts w:ascii="Arial" w:hAnsi="Arial" w:cs="Arial"/>
          <w:b/>
        </w:rPr>
        <w:t>de produtores e importadores a revendedores</w:t>
      </w:r>
    </w:p>
    <w:p w14:paraId="47BF9DC3" w14:textId="77777777" w:rsidR="006D6062" w:rsidRPr="006D6062" w:rsidRDefault="006D6062" w:rsidP="006D6062">
      <w:pPr>
        <w:spacing w:after="0" w:line="360" w:lineRule="auto"/>
        <w:jc w:val="both"/>
        <w:rPr>
          <w:rFonts w:ascii="Arial" w:hAnsi="Arial" w:cs="Arial"/>
          <w:b/>
        </w:rPr>
      </w:pPr>
    </w:p>
    <w:p w14:paraId="195FA726" w14:textId="13D337BA" w:rsidR="000A0EE6" w:rsidRPr="00F125C5" w:rsidRDefault="000A0EE6" w:rsidP="005573AA">
      <w:pPr>
        <w:spacing w:after="0" w:line="360" w:lineRule="auto"/>
        <w:ind w:firstLine="708"/>
        <w:jc w:val="both"/>
        <w:rPr>
          <w:rFonts w:ascii="Arial" w:hAnsi="Arial" w:cs="Arial"/>
        </w:rPr>
      </w:pPr>
      <w:r w:rsidRPr="00F125C5">
        <w:rPr>
          <w:rFonts w:ascii="Arial" w:hAnsi="Arial" w:cs="Arial"/>
        </w:rPr>
        <w:t xml:space="preserve">Nos termos do aviso da </w:t>
      </w:r>
      <w:r w:rsidR="0048413E" w:rsidRPr="00F125C5">
        <w:rPr>
          <w:rFonts w:ascii="Arial" w:hAnsi="Arial" w:cs="Arial"/>
        </w:rPr>
        <w:t>tomada pública</w:t>
      </w:r>
      <w:r w:rsidRPr="00F125C5">
        <w:rPr>
          <w:rFonts w:ascii="Arial" w:hAnsi="Arial" w:cs="Arial"/>
        </w:rPr>
        <w:t>, publicado</w:t>
      </w:r>
      <w:r w:rsidR="00EB23FF" w:rsidRPr="00F125C5">
        <w:rPr>
          <w:rFonts w:ascii="Arial" w:hAnsi="Arial" w:cs="Arial"/>
        </w:rPr>
        <w:t xml:space="preserve"> no DOU no dia </w:t>
      </w:r>
      <w:r w:rsidR="0048413E" w:rsidRPr="00F125C5">
        <w:rPr>
          <w:rFonts w:ascii="Arial" w:hAnsi="Arial" w:cs="Arial"/>
        </w:rPr>
        <w:t xml:space="preserve">20/09/2018, também está em análise na presente TPC nº 03/2018 </w:t>
      </w:r>
      <w:r w:rsidRPr="00F125C5">
        <w:rPr>
          <w:rFonts w:ascii="Arial" w:hAnsi="Arial" w:cs="Arial"/>
        </w:rPr>
        <w:t>eventual supressão da vedação de comercialização direta de produtores e importadores para revendedores</w:t>
      </w:r>
      <w:r w:rsidR="0048413E" w:rsidRPr="00F125C5">
        <w:rPr>
          <w:rFonts w:ascii="Arial" w:hAnsi="Arial" w:cs="Arial"/>
        </w:rPr>
        <w:t xml:space="preserve">. </w:t>
      </w:r>
      <w:r w:rsidR="001C29AB" w:rsidRPr="00F125C5">
        <w:rPr>
          <w:rFonts w:ascii="Arial" w:hAnsi="Arial" w:cs="Arial"/>
        </w:rPr>
        <w:t>Como visto, a</w:t>
      </w:r>
      <w:r w:rsidRPr="00F125C5">
        <w:rPr>
          <w:rFonts w:ascii="Arial" w:hAnsi="Arial" w:cs="Arial"/>
        </w:rPr>
        <w:t xml:space="preserve"> regulação atual limita uma série de relações entre </w:t>
      </w:r>
      <w:r w:rsidR="001C29AB" w:rsidRPr="00F125C5">
        <w:rPr>
          <w:rFonts w:ascii="Arial" w:hAnsi="Arial" w:cs="Arial"/>
        </w:rPr>
        <w:t>produtores/importadores de combustíveis com o</w:t>
      </w:r>
      <w:r w:rsidRPr="00F125C5">
        <w:rPr>
          <w:rFonts w:ascii="Arial" w:hAnsi="Arial" w:cs="Arial"/>
        </w:rPr>
        <w:t xml:space="preserve"> elo</w:t>
      </w:r>
      <w:r w:rsidR="001C29AB" w:rsidRPr="00F125C5">
        <w:rPr>
          <w:rFonts w:ascii="Arial" w:hAnsi="Arial" w:cs="Arial"/>
        </w:rPr>
        <w:t xml:space="preserve"> </w:t>
      </w:r>
      <w:r w:rsidRPr="00F125C5">
        <w:rPr>
          <w:rFonts w:ascii="Arial" w:hAnsi="Arial" w:cs="Arial"/>
        </w:rPr>
        <w:t>da revenda</w:t>
      </w:r>
      <w:r w:rsidR="001C29AB" w:rsidRPr="00F125C5">
        <w:rPr>
          <w:rFonts w:ascii="Arial" w:hAnsi="Arial" w:cs="Arial"/>
        </w:rPr>
        <w:t>, dentre as quais d</w:t>
      </w:r>
      <w:r w:rsidRPr="00F125C5">
        <w:rPr>
          <w:rFonts w:ascii="Arial" w:hAnsi="Arial" w:cs="Arial"/>
        </w:rPr>
        <w:t xml:space="preserve">estacam-se a proibição de que refinadores de petróleo comercializem diretamente com </w:t>
      </w:r>
      <w:proofErr w:type="spellStart"/>
      <w:r w:rsidRPr="00F125C5">
        <w:rPr>
          <w:rFonts w:ascii="Arial" w:hAnsi="Arial" w:cs="Arial"/>
        </w:rPr>
        <w:t>TRRs</w:t>
      </w:r>
      <w:proofErr w:type="spellEnd"/>
      <w:r w:rsidRPr="00F125C5">
        <w:rPr>
          <w:rFonts w:ascii="Arial" w:hAnsi="Arial" w:cs="Arial"/>
        </w:rPr>
        <w:t xml:space="preserve"> e revendedores varejistas de combustíveis, inclusive postos escola</w:t>
      </w:r>
      <w:r w:rsidRPr="00F125C5">
        <w:rPr>
          <w:rStyle w:val="Refdenotaderodap"/>
          <w:rFonts w:ascii="Arial" w:hAnsi="Arial" w:cs="Arial"/>
        </w:rPr>
        <w:footnoteReference w:id="43"/>
      </w:r>
      <w:r w:rsidR="001C29AB" w:rsidRPr="00F125C5">
        <w:rPr>
          <w:rFonts w:ascii="Arial" w:hAnsi="Arial" w:cs="Arial"/>
        </w:rPr>
        <w:t xml:space="preserve"> e </w:t>
      </w:r>
      <w:r w:rsidRPr="00F125C5">
        <w:rPr>
          <w:rFonts w:ascii="Arial" w:hAnsi="Arial" w:cs="Arial"/>
        </w:rPr>
        <w:t>a proibição de que importadores de gasolina comercializem o produto com revendedores</w:t>
      </w:r>
      <w:r w:rsidRPr="00F125C5">
        <w:rPr>
          <w:rStyle w:val="Refdenotaderodap"/>
          <w:rFonts w:ascii="Arial" w:hAnsi="Arial" w:cs="Arial"/>
        </w:rPr>
        <w:footnoteReference w:id="44"/>
      </w:r>
      <w:r w:rsidR="001C29AB" w:rsidRPr="00F125C5">
        <w:rPr>
          <w:rFonts w:ascii="Arial" w:hAnsi="Arial" w:cs="Arial"/>
        </w:rPr>
        <w:t xml:space="preserve">. </w:t>
      </w:r>
    </w:p>
    <w:p w14:paraId="2BD4FA2F" w14:textId="4B2442C9" w:rsidR="00A5236D" w:rsidRPr="00F125C5" w:rsidRDefault="00A5236D" w:rsidP="00A5236D">
      <w:pPr>
        <w:spacing w:after="0" w:line="360" w:lineRule="auto"/>
        <w:ind w:firstLine="708"/>
        <w:jc w:val="both"/>
        <w:rPr>
          <w:rFonts w:ascii="Arial" w:eastAsia="Noto Sans" w:hAnsi="Arial" w:cs="Arial"/>
          <w:lang w:eastAsia="pt-BR"/>
        </w:rPr>
      </w:pPr>
      <w:r w:rsidRPr="00F125C5">
        <w:rPr>
          <w:rFonts w:ascii="Arial" w:hAnsi="Arial" w:cs="Arial"/>
        </w:rPr>
        <w:t xml:space="preserve">Apesar de, desde 1997, a Lei do Petróleo consagrar a dinâmica competitiva nas diferentes etapas do mercado de combustíveis, </w:t>
      </w:r>
      <w:r w:rsidR="0080366F" w:rsidRPr="00F125C5">
        <w:rPr>
          <w:rFonts w:ascii="Arial" w:hAnsi="Arial" w:cs="Arial"/>
        </w:rPr>
        <w:t>há dominância da Petrobras no</w:t>
      </w:r>
      <w:r w:rsidRPr="00F125C5">
        <w:rPr>
          <w:rFonts w:ascii="Arial" w:hAnsi="Arial" w:cs="Arial"/>
        </w:rPr>
        <w:t xml:space="preserve"> refino em território nacional.</w:t>
      </w:r>
      <w:r w:rsidRPr="00F125C5">
        <w:rPr>
          <w:rStyle w:val="Refdenotaderodap"/>
          <w:rFonts w:ascii="Arial" w:hAnsi="Arial" w:cs="Arial"/>
        </w:rPr>
        <w:footnoteReference w:id="45"/>
      </w:r>
      <w:r w:rsidRPr="00F125C5">
        <w:rPr>
          <w:rFonts w:ascii="Arial" w:eastAsia="Noto Sans" w:hAnsi="Arial" w:cs="Arial"/>
          <w:lang w:eastAsia="pt-BR"/>
        </w:rPr>
        <w:t xml:space="preserve"> Em 2017, a participação de refinarias que não são da Petrobras no abastecimento nacional limitou-se ao percentual de 1,4% da capacidade do refino, segundo dados da ANP.</w:t>
      </w:r>
    </w:p>
    <w:p w14:paraId="689065A2" w14:textId="51548D89" w:rsidR="00E91015" w:rsidRPr="00F125C5" w:rsidRDefault="00444D4B" w:rsidP="00DE7E83">
      <w:pPr>
        <w:spacing w:after="0" w:line="360" w:lineRule="auto"/>
        <w:ind w:firstLine="708"/>
        <w:jc w:val="both"/>
        <w:rPr>
          <w:rFonts w:ascii="Arial" w:hAnsi="Arial" w:cs="Arial"/>
        </w:rPr>
      </w:pPr>
      <w:r w:rsidRPr="00F125C5">
        <w:rPr>
          <w:rFonts w:ascii="Arial" w:hAnsi="Arial" w:cs="Arial"/>
        </w:rPr>
        <w:t xml:space="preserve">A eventual supressão </w:t>
      </w:r>
      <w:r w:rsidR="00EA476D" w:rsidRPr="00F125C5">
        <w:rPr>
          <w:rFonts w:ascii="Arial" w:hAnsi="Arial" w:cs="Arial"/>
        </w:rPr>
        <w:t xml:space="preserve">da vedação da comercialização direta de produtores para revendedores </w:t>
      </w:r>
      <w:r w:rsidR="00F81073" w:rsidRPr="00F125C5">
        <w:rPr>
          <w:rFonts w:ascii="Arial" w:hAnsi="Arial" w:cs="Arial"/>
        </w:rPr>
        <w:t xml:space="preserve">deve considerar necessariamente esta estrutura do mercado brasileiro, que o difere muito de outros países, </w:t>
      </w:r>
      <w:r w:rsidR="0028099E" w:rsidRPr="00F125C5">
        <w:rPr>
          <w:rFonts w:ascii="Arial" w:hAnsi="Arial" w:cs="Arial"/>
        </w:rPr>
        <w:t xml:space="preserve">que </w:t>
      </w:r>
      <w:r w:rsidR="00F81073" w:rsidRPr="00F125C5">
        <w:rPr>
          <w:rFonts w:ascii="Arial" w:hAnsi="Arial" w:cs="Arial"/>
        </w:rPr>
        <w:t>inclusive</w:t>
      </w:r>
      <w:r w:rsidR="0028099E" w:rsidRPr="00F125C5">
        <w:rPr>
          <w:rFonts w:ascii="Arial" w:hAnsi="Arial" w:cs="Arial"/>
        </w:rPr>
        <w:t xml:space="preserve"> basearam os estudos</w:t>
      </w:r>
      <w:r w:rsidR="00E94845" w:rsidRPr="00F125C5">
        <w:rPr>
          <w:rFonts w:ascii="Arial" w:hAnsi="Arial" w:cs="Arial"/>
        </w:rPr>
        <w:t xml:space="preserve"> apresentados como favoráveis à verticalização da revenda no Brasil</w:t>
      </w:r>
      <w:r w:rsidR="0080366F" w:rsidRPr="00F125C5">
        <w:rPr>
          <w:rFonts w:ascii="Arial" w:hAnsi="Arial" w:cs="Arial"/>
        </w:rPr>
        <w:t>.</w:t>
      </w:r>
      <w:r w:rsidR="00E94845" w:rsidRPr="00F125C5">
        <w:rPr>
          <w:rFonts w:ascii="Arial" w:hAnsi="Arial" w:cs="Arial"/>
        </w:rPr>
        <w:t xml:space="preserve"> </w:t>
      </w:r>
      <w:r w:rsidR="003208EB" w:rsidRPr="00F125C5">
        <w:rPr>
          <w:rFonts w:ascii="Arial" w:hAnsi="Arial" w:cs="Arial"/>
        </w:rPr>
        <w:t>A</w:t>
      </w:r>
      <w:r w:rsidR="007D667D" w:rsidRPr="00F125C5">
        <w:rPr>
          <w:rFonts w:ascii="Arial" w:hAnsi="Arial" w:cs="Arial"/>
        </w:rPr>
        <w:t xml:space="preserve"> medida traz desafios não triviais</w:t>
      </w:r>
      <w:r w:rsidR="00903797" w:rsidRPr="00F125C5">
        <w:rPr>
          <w:rFonts w:ascii="Arial" w:hAnsi="Arial" w:cs="Arial"/>
        </w:rPr>
        <w:t xml:space="preserve"> do ponto de vista </w:t>
      </w:r>
      <w:r w:rsidR="006B5338" w:rsidRPr="00F125C5">
        <w:rPr>
          <w:rFonts w:ascii="Arial" w:hAnsi="Arial" w:cs="Arial"/>
        </w:rPr>
        <w:t>concorrencial e também do desenho regulatório do setor</w:t>
      </w:r>
      <w:r w:rsidR="00903797" w:rsidRPr="00F125C5">
        <w:rPr>
          <w:rFonts w:ascii="Arial" w:hAnsi="Arial" w:cs="Arial"/>
        </w:rPr>
        <w:t xml:space="preserve">. </w:t>
      </w:r>
      <w:r w:rsidR="006B5338" w:rsidRPr="00F125C5">
        <w:rPr>
          <w:rFonts w:ascii="Arial" w:hAnsi="Arial" w:cs="Arial"/>
        </w:rPr>
        <w:t>Isto porque a</w:t>
      </w:r>
      <w:r w:rsidR="00E8275B" w:rsidRPr="00F125C5">
        <w:rPr>
          <w:rFonts w:ascii="Arial" w:hAnsi="Arial" w:cs="Arial"/>
        </w:rPr>
        <w:t xml:space="preserve"> verticalização enseja</w:t>
      </w:r>
      <w:r w:rsidR="0080366F" w:rsidRPr="00F125C5">
        <w:rPr>
          <w:rFonts w:ascii="Arial" w:hAnsi="Arial" w:cs="Arial"/>
        </w:rPr>
        <w:t>ria</w:t>
      </w:r>
      <w:r w:rsidR="00E8275B" w:rsidRPr="00F125C5">
        <w:rPr>
          <w:rFonts w:ascii="Arial" w:hAnsi="Arial" w:cs="Arial"/>
        </w:rPr>
        <w:t xml:space="preserve"> </w:t>
      </w:r>
      <w:r w:rsidR="00FC6ABA" w:rsidRPr="00F125C5">
        <w:rPr>
          <w:rFonts w:ascii="Arial" w:hAnsi="Arial" w:cs="Arial"/>
        </w:rPr>
        <w:t xml:space="preserve">preocupações como potencial fechamento de mercado e discriminação, entre outras condutas. </w:t>
      </w:r>
      <w:r w:rsidR="00DD3EFD" w:rsidRPr="00F125C5">
        <w:rPr>
          <w:rFonts w:ascii="Arial" w:hAnsi="Arial" w:cs="Arial"/>
        </w:rPr>
        <w:t>Preocupações semelhantes foram</w:t>
      </w:r>
      <w:r w:rsidR="003B6419" w:rsidRPr="00F125C5">
        <w:rPr>
          <w:rFonts w:ascii="Arial" w:hAnsi="Arial" w:cs="Arial"/>
        </w:rPr>
        <w:t xml:space="preserve">, inclusive, externadas pelo </w:t>
      </w:r>
      <w:proofErr w:type="spellStart"/>
      <w:r w:rsidR="003B6419" w:rsidRPr="00F125C5">
        <w:rPr>
          <w:rFonts w:ascii="Arial" w:hAnsi="Arial" w:cs="Arial"/>
        </w:rPr>
        <w:t>Cade</w:t>
      </w:r>
      <w:proofErr w:type="spellEnd"/>
      <w:r w:rsidR="003B6419" w:rsidRPr="00F125C5">
        <w:rPr>
          <w:rFonts w:ascii="Arial" w:hAnsi="Arial" w:cs="Arial"/>
        </w:rPr>
        <w:t xml:space="preserve"> no documento “</w:t>
      </w:r>
      <w:r w:rsidR="003B6419" w:rsidRPr="00F125C5">
        <w:rPr>
          <w:rFonts w:ascii="Arial" w:hAnsi="Arial" w:cs="Arial"/>
          <w:i/>
        </w:rPr>
        <w:t>O ambiente concorrencial no setor do refino de petróleo e distribuição de combustíveis líquidos”</w:t>
      </w:r>
      <w:r w:rsidR="003B6419" w:rsidRPr="00F125C5">
        <w:rPr>
          <w:rFonts w:ascii="Arial" w:hAnsi="Arial" w:cs="Arial"/>
        </w:rPr>
        <w:t xml:space="preserve">, de </w:t>
      </w:r>
      <w:r w:rsidR="006307B4" w:rsidRPr="00F125C5">
        <w:rPr>
          <w:rFonts w:ascii="Arial" w:hAnsi="Arial" w:cs="Arial"/>
        </w:rPr>
        <w:t>agosto de 2017</w:t>
      </w:r>
      <w:r w:rsidR="006307B4" w:rsidRPr="00F125C5">
        <w:rPr>
          <w:rStyle w:val="Refdenotaderodap"/>
          <w:rFonts w:ascii="Arial" w:hAnsi="Arial" w:cs="Arial"/>
        </w:rPr>
        <w:footnoteReference w:id="46"/>
      </w:r>
      <w:r w:rsidR="00AC0E22" w:rsidRPr="00F125C5">
        <w:rPr>
          <w:rFonts w:ascii="Arial" w:hAnsi="Arial" w:cs="Arial"/>
        </w:rPr>
        <w:t xml:space="preserve">, por meio do qual a autoridade antitruste brasileira apresentou um panorama sobre questões antitruste nos mercados de refino e de distribuição de combustíveis líquidos, em especial, levando em consideração modificações estruturais anunciadas na estrutura da Petrobras. </w:t>
      </w:r>
    </w:p>
    <w:p w14:paraId="398FD5EF" w14:textId="77777777" w:rsidR="00DF2772" w:rsidRPr="00F125C5" w:rsidRDefault="00CA5FCA" w:rsidP="00DF2772">
      <w:pPr>
        <w:spacing w:after="0" w:line="360" w:lineRule="auto"/>
        <w:ind w:firstLine="708"/>
        <w:jc w:val="both"/>
        <w:rPr>
          <w:rFonts w:ascii="Arial" w:hAnsi="Arial" w:cs="Arial"/>
        </w:rPr>
      </w:pPr>
      <w:r w:rsidRPr="00F125C5">
        <w:rPr>
          <w:rFonts w:ascii="Arial" w:hAnsi="Arial" w:cs="Arial"/>
        </w:rPr>
        <w:lastRenderedPageBreak/>
        <w:t xml:space="preserve">Mesmo uma eventual quebra do monopólio do refino deve ser analisada cuidadosamente no contexto do fim de uma regra que proíba a verticalização. Afinal, caso não haja separação dos elos da cadeia de combustíveis, a participação de um determinado ator no elo do refino pode gerar quebra da isonomia competitiva entre os atores que participam nos elos da distribuição e da revenda, gerando preocupações concorrenciais significativas (em especial com discussões sobre práticas discriminatórias). </w:t>
      </w:r>
      <w:bookmarkStart w:id="3" w:name="_Hlk529869853"/>
      <w:r w:rsidR="00DF2772" w:rsidRPr="00F125C5">
        <w:rPr>
          <w:rFonts w:ascii="Arial" w:hAnsi="Arial" w:cs="Arial"/>
        </w:rPr>
        <w:t>É preciso ter em conta que atores que se integram verticalmente possuem fortes incentivos para buscar agressivamente a remuneração do conjunto dos investimentos nos elos verticalizados.</w:t>
      </w:r>
    </w:p>
    <w:bookmarkEnd w:id="3"/>
    <w:p w14:paraId="36813D99" w14:textId="0AAD8503" w:rsidR="00CA5FCA" w:rsidRPr="00F125C5" w:rsidRDefault="00CA5FCA" w:rsidP="00DE7E83">
      <w:pPr>
        <w:spacing w:after="0" w:line="360" w:lineRule="auto"/>
        <w:ind w:firstLine="708"/>
        <w:jc w:val="both"/>
        <w:rPr>
          <w:rFonts w:ascii="Arial" w:hAnsi="Arial" w:cs="Arial"/>
          <w:b/>
        </w:rPr>
      </w:pPr>
      <w:r w:rsidRPr="00F125C5">
        <w:rPr>
          <w:rFonts w:ascii="Arial" w:hAnsi="Arial" w:cs="Arial"/>
          <w:b/>
        </w:rPr>
        <w:t xml:space="preserve">Novamente, reforça-se o ponto já alertado na introdução: se a vontade das autoridades é realmente aumentar a competitividade do setor de combustíveis e reduzir os preços dos combustíveis ao consumidor final, o ideal seria focar a discussão e a apresentação de medidas e iniciativas na quebra do monopólio do refino e no combate à sonegação, não em uma discussão isolada sobre uma regra regulatória que não determina significativamente o preço final dos combustíveis. </w:t>
      </w:r>
    </w:p>
    <w:p w14:paraId="4886F0A7" w14:textId="77777777" w:rsidR="006B5338" w:rsidRPr="00F125C5" w:rsidRDefault="00DE7E83" w:rsidP="002973CE">
      <w:pPr>
        <w:spacing w:after="0" w:line="360" w:lineRule="auto"/>
        <w:ind w:firstLine="708"/>
        <w:jc w:val="both"/>
        <w:rPr>
          <w:rFonts w:ascii="Arial" w:hAnsi="Arial" w:cs="Arial"/>
        </w:rPr>
      </w:pPr>
      <w:r w:rsidRPr="00F125C5">
        <w:rPr>
          <w:rFonts w:ascii="Arial" w:hAnsi="Arial" w:cs="Arial"/>
        </w:rPr>
        <w:t>Para além de características estruturais que hoje marcam o refino poderem se espalhar para elos que hoje contam com elevado grau de concorrência, outro</w:t>
      </w:r>
      <w:r w:rsidR="003208EB" w:rsidRPr="00F125C5">
        <w:rPr>
          <w:rFonts w:ascii="Arial" w:hAnsi="Arial" w:cs="Arial"/>
        </w:rPr>
        <w:t>s dois</w:t>
      </w:r>
      <w:r w:rsidRPr="00F125C5">
        <w:rPr>
          <w:rFonts w:ascii="Arial" w:hAnsi="Arial" w:cs="Arial"/>
        </w:rPr>
        <w:t xml:space="preserve"> impacto</w:t>
      </w:r>
      <w:r w:rsidR="003208EB" w:rsidRPr="00F125C5">
        <w:rPr>
          <w:rFonts w:ascii="Arial" w:hAnsi="Arial" w:cs="Arial"/>
        </w:rPr>
        <w:t>s</w:t>
      </w:r>
      <w:r w:rsidRPr="00F125C5">
        <w:rPr>
          <w:rFonts w:ascii="Arial" w:hAnsi="Arial" w:cs="Arial"/>
        </w:rPr>
        <w:t xml:space="preserve"> relevante</w:t>
      </w:r>
      <w:r w:rsidR="003208EB" w:rsidRPr="00F125C5">
        <w:rPr>
          <w:rFonts w:ascii="Arial" w:hAnsi="Arial" w:cs="Arial"/>
        </w:rPr>
        <w:t>s</w:t>
      </w:r>
      <w:r w:rsidRPr="00F125C5">
        <w:rPr>
          <w:rFonts w:ascii="Arial" w:hAnsi="Arial" w:cs="Arial"/>
        </w:rPr>
        <w:t xml:space="preserve"> d</w:t>
      </w:r>
      <w:r w:rsidR="00290A78" w:rsidRPr="00F125C5">
        <w:rPr>
          <w:rFonts w:ascii="Arial" w:hAnsi="Arial" w:cs="Arial"/>
        </w:rPr>
        <w:t>a eventual permissão para que produtores comercializem combustíveis diretamente com postos revendedores apresenta natureza tributária</w:t>
      </w:r>
      <w:r w:rsidR="003208EB" w:rsidRPr="00F125C5">
        <w:rPr>
          <w:rFonts w:ascii="Arial" w:hAnsi="Arial" w:cs="Arial"/>
        </w:rPr>
        <w:t xml:space="preserve"> e natureza regulatória</w:t>
      </w:r>
      <w:r w:rsidR="00290A78" w:rsidRPr="00F125C5">
        <w:rPr>
          <w:rFonts w:ascii="Arial" w:hAnsi="Arial" w:cs="Arial"/>
        </w:rPr>
        <w:t xml:space="preserve">. </w:t>
      </w:r>
      <w:r w:rsidR="002973CE" w:rsidRPr="00F125C5">
        <w:rPr>
          <w:rFonts w:ascii="Arial" w:hAnsi="Arial" w:cs="Arial"/>
        </w:rPr>
        <w:t>O regime tributário atualmente vigente prevê a incidência de tributos ao longo dos diferentes elos da cadeia de combustíveis, apesar de seu recolhimento refletir a sistemática da substituição tributária.</w:t>
      </w:r>
      <w:r w:rsidR="003208EB" w:rsidRPr="00F125C5">
        <w:rPr>
          <w:rFonts w:ascii="Arial" w:hAnsi="Arial" w:cs="Arial"/>
        </w:rPr>
        <w:t xml:space="preserve"> O mesmo acontece com a fiscalização regulatória, que também incide nos diferentes elos a partir da atual organização do setor.</w:t>
      </w:r>
      <w:r w:rsidR="002973CE" w:rsidRPr="00F125C5">
        <w:rPr>
          <w:rFonts w:ascii="Arial" w:hAnsi="Arial" w:cs="Arial"/>
        </w:rPr>
        <w:t xml:space="preserve"> Assim, eventuais arranjos verticais que, na prática, poderiam significar a exclusão de um desses elos, teriam prováveis efeitos sobre a forma de incidência e arrecadação de tributos</w:t>
      </w:r>
      <w:r w:rsidR="003208EB" w:rsidRPr="00F125C5">
        <w:rPr>
          <w:rFonts w:ascii="Arial" w:hAnsi="Arial" w:cs="Arial"/>
        </w:rPr>
        <w:t xml:space="preserve"> e de fiscalização regulatória</w:t>
      </w:r>
      <w:r w:rsidR="002973CE" w:rsidRPr="00F125C5">
        <w:rPr>
          <w:rFonts w:ascii="Arial" w:hAnsi="Arial" w:cs="Arial"/>
        </w:rPr>
        <w:t>,</w:t>
      </w:r>
      <w:r w:rsidR="003208EB" w:rsidRPr="00F125C5">
        <w:rPr>
          <w:rFonts w:ascii="Arial" w:hAnsi="Arial" w:cs="Arial"/>
        </w:rPr>
        <w:t xml:space="preserve"> o que demanda devida análise</w:t>
      </w:r>
      <w:r w:rsidR="002973CE" w:rsidRPr="00F125C5">
        <w:rPr>
          <w:rFonts w:ascii="Arial" w:hAnsi="Arial" w:cs="Arial"/>
        </w:rPr>
        <w:t xml:space="preserve"> pelas autoridades competentes.</w:t>
      </w:r>
    </w:p>
    <w:p w14:paraId="2DFF66D1" w14:textId="6B7E8557" w:rsidR="002973CE" w:rsidRPr="00F125C5" w:rsidRDefault="006B5338" w:rsidP="002973CE">
      <w:pPr>
        <w:spacing w:after="0" w:line="360" w:lineRule="auto"/>
        <w:ind w:firstLine="708"/>
        <w:jc w:val="both"/>
        <w:rPr>
          <w:rFonts w:ascii="Arial" w:hAnsi="Arial" w:cs="Arial"/>
        </w:rPr>
      </w:pPr>
      <w:r w:rsidRPr="00F125C5">
        <w:rPr>
          <w:rFonts w:ascii="Arial" w:hAnsi="Arial" w:cs="Arial"/>
        </w:rPr>
        <w:t xml:space="preserve">Para além dos aspectos competitivos referidos acima, esta proposta esbarra </w:t>
      </w:r>
      <w:r w:rsidR="00333EFB" w:rsidRPr="00F125C5">
        <w:rPr>
          <w:rFonts w:ascii="Arial" w:hAnsi="Arial" w:cs="Arial"/>
        </w:rPr>
        <w:t xml:space="preserve">também </w:t>
      </w:r>
      <w:r w:rsidRPr="00F125C5">
        <w:rPr>
          <w:rFonts w:ascii="Arial" w:hAnsi="Arial" w:cs="Arial"/>
        </w:rPr>
        <w:t xml:space="preserve">em dificuldades </w:t>
      </w:r>
      <w:r w:rsidR="00333EFB" w:rsidRPr="00F125C5">
        <w:rPr>
          <w:rFonts w:ascii="Arial" w:hAnsi="Arial" w:cs="Arial"/>
        </w:rPr>
        <w:t xml:space="preserve">legais </w:t>
      </w:r>
      <w:r w:rsidRPr="00F125C5">
        <w:rPr>
          <w:rFonts w:ascii="Arial" w:hAnsi="Arial" w:cs="Arial"/>
        </w:rPr>
        <w:t>que nos parecem insanáveis</w:t>
      </w:r>
      <w:r w:rsidR="00333EFB" w:rsidRPr="00F125C5">
        <w:rPr>
          <w:rFonts w:ascii="Arial" w:hAnsi="Arial" w:cs="Arial"/>
        </w:rPr>
        <w:t xml:space="preserve"> (ao menos do ponto de vista </w:t>
      </w:r>
      <w:proofErr w:type="spellStart"/>
      <w:r w:rsidR="00333EFB" w:rsidRPr="00F125C5">
        <w:rPr>
          <w:rFonts w:ascii="Arial" w:hAnsi="Arial" w:cs="Arial"/>
        </w:rPr>
        <w:t>infralegal</w:t>
      </w:r>
      <w:proofErr w:type="spellEnd"/>
      <w:r w:rsidR="00333EFB" w:rsidRPr="00F125C5">
        <w:rPr>
          <w:rFonts w:ascii="Arial" w:hAnsi="Arial" w:cs="Arial"/>
        </w:rPr>
        <w:t>)</w:t>
      </w:r>
      <w:r w:rsidRPr="00F125C5">
        <w:rPr>
          <w:rFonts w:ascii="Arial" w:hAnsi="Arial" w:cs="Arial"/>
        </w:rPr>
        <w:t xml:space="preserve">. </w:t>
      </w:r>
      <w:r w:rsidR="00333EFB" w:rsidRPr="00F125C5">
        <w:rPr>
          <w:rFonts w:ascii="Arial" w:hAnsi="Arial" w:cs="Arial"/>
        </w:rPr>
        <w:t>Isto porque, conforme refere o prof. Alexandre Aragão, em parecer contratado pela Plural</w:t>
      </w:r>
      <w:r w:rsidR="00333EFB" w:rsidRPr="00F125C5">
        <w:rPr>
          <w:rStyle w:val="Refdenotaderodap"/>
          <w:rFonts w:ascii="Arial" w:hAnsi="Arial" w:cs="Arial"/>
        </w:rPr>
        <w:footnoteReference w:id="47"/>
      </w:r>
      <w:r w:rsidR="00333EFB" w:rsidRPr="00F125C5">
        <w:rPr>
          <w:rFonts w:ascii="Arial" w:hAnsi="Arial" w:cs="Arial"/>
        </w:rPr>
        <w:t xml:space="preserve">, para cada uma das atividades que compõem o setor econômico do petróleo, cristalizadas pela Lei 9.478/97, “o ordenamento constitucional e legal prevê uma concessão ou uma autorização administrativa específica, com cada uma dessas </w:t>
      </w:r>
      <w:r w:rsidR="00333EFB" w:rsidRPr="00F125C5">
        <w:rPr>
          <w:rFonts w:ascii="Arial" w:hAnsi="Arial" w:cs="Arial"/>
        </w:rPr>
        <w:lastRenderedPageBreak/>
        <w:t xml:space="preserve">atividades, segmentadas desde a sua matriz constitucional, possuindo a sua própria concessão ou autorização, distintas entre si. </w:t>
      </w:r>
      <w:r w:rsidR="00333EFB" w:rsidRPr="00F125C5">
        <w:rPr>
          <w:rFonts w:ascii="Arial" w:hAnsi="Arial" w:cs="Arial"/>
          <w:b/>
          <w:i/>
        </w:rPr>
        <w:t>Vale dizer que, para o Constituinte, cada etapa da cadeia do petróleo deve existir – ou seja, não pode ser objeto de total confusão ou tampouco de supressão. De modo que qualquer discussão sobre verticalização que resulte em total confusão de atividades estaria, a priori, em colisão com a Constituição Federal</w:t>
      </w:r>
      <w:r w:rsidR="00333EFB" w:rsidRPr="00F125C5">
        <w:rPr>
          <w:rFonts w:ascii="Arial" w:hAnsi="Arial" w:cs="Arial"/>
          <w:b/>
        </w:rPr>
        <w:t xml:space="preserve"> </w:t>
      </w:r>
      <w:r w:rsidR="00333EFB" w:rsidRPr="00F125C5">
        <w:rPr>
          <w:rFonts w:ascii="Arial" w:hAnsi="Arial" w:cs="Arial"/>
        </w:rPr>
        <w:t>(</w:t>
      </w:r>
      <w:proofErr w:type="spellStart"/>
      <w:r w:rsidR="00333EFB" w:rsidRPr="00F125C5">
        <w:rPr>
          <w:rFonts w:ascii="Arial" w:hAnsi="Arial" w:cs="Arial"/>
        </w:rPr>
        <w:t>g.n</w:t>
      </w:r>
      <w:proofErr w:type="spellEnd"/>
      <w:r w:rsidR="00333EFB" w:rsidRPr="00F125C5">
        <w:rPr>
          <w:rFonts w:ascii="Arial" w:hAnsi="Arial" w:cs="Arial"/>
        </w:rPr>
        <w:t>.)</w:t>
      </w:r>
      <w:r w:rsidR="00333EFB" w:rsidRPr="00F125C5">
        <w:rPr>
          <w:rFonts w:ascii="Arial" w:hAnsi="Arial" w:cs="Arial"/>
          <w:b/>
        </w:rPr>
        <w:t>”</w:t>
      </w:r>
      <w:r w:rsidR="00333EFB" w:rsidRPr="00F125C5">
        <w:rPr>
          <w:rFonts w:ascii="Arial" w:hAnsi="Arial" w:cs="Arial"/>
        </w:rPr>
        <w:t>. Ou seja, ainda que a agência de fato acredita</w:t>
      </w:r>
      <w:r w:rsidR="008F4FAA" w:rsidRPr="00F125C5">
        <w:rPr>
          <w:rFonts w:ascii="Arial" w:hAnsi="Arial" w:cs="Arial"/>
        </w:rPr>
        <w:t>s</w:t>
      </w:r>
      <w:r w:rsidR="00333EFB" w:rsidRPr="00F125C5">
        <w:rPr>
          <w:rFonts w:ascii="Arial" w:hAnsi="Arial" w:cs="Arial"/>
        </w:rPr>
        <w:t>se que faz sentido a revisão dos papeis conferidos aos agentes regulados pela Constituição Federal e pela Lei do Petróleo</w:t>
      </w:r>
      <w:r w:rsidR="008F4FAA" w:rsidRPr="00F125C5">
        <w:rPr>
          <w:rStyle w:val="Refdenotaderodap"/>
          <w:rFonts w:ascii="Arial" w:hAnsi="Arial" w:cs="Arial"/>
        </w:rPr>
        <w:footnoteReference w:id="48"/>
      </w:r>
      <w:r w:rsidR="00333EFB" w:rsidRPr="00F125C5">
        <w:rPr>
          <w:rFonts w:ascii="Arial" w:hAnsi="Arial" w:cs="Arial"/>
        </w:rPr>
        <w:t xml:space="preserve">, isto não poderia, jamais, ser </w:t>
      </w:r>
      <w:r w:rsidR="008F4FAA" w:rsidRPr="00F125C5">
        <w:rPr>
          <w:rFonts w:ascii="Arial" w:hAnsi="Arial" w:cs="Arial"/>
        </w:rPr>
        <w:t xml:space="preserve">feito por iniciativa </w:t>
      </w:r>
      <w:proofErr w:type="spellStart"/>
      <w:r w:rsidR="008F4FAA" w:rsidRPr="00F125C5">
        <w:rPr>
          <w:rFonts w:ascii="Arial" w:hAnsi="Arial" w:cs="Arial"/>
        </w:rPr>
        <w:t>infralegal</w:t>
      </w:r>
      <w:proofErr w:type="spellEnd"/>
      <w:r w:rsidR="00333EFB" w:rsidRPr="00F125C5">
        <w:rPr>
          <w:rFonts w:ascii="Arial" w:hAnsi="Arial" w:cs="Arial"/>
        </w:rPr>
        <w:t xml:space="preserve">. A tentativa somente produzirá como efeito insegurança jurídica e embates jurídicos intermináveis, o que, a toda evidência, é </w:t>
      </w:r>
      <w:r w:rsidR="008F4FAA" w:rsidRPr="00F125C5">
        <w:rPr>
          <w:rFonts w:ascii="Arial" w:hAnsi="Arial" w:cs="Arial"/>
        </w:rPr>
        <w:t>algo de q</w:t>
      </w:r>
      <w:r w:rsidR="00333EFB" w:rsidRPr="00F125C5">
        <w:rPr>
          <w:rFonts w:ascii="Arial" w:hAnsi="Arial" w:cs="Arial"/>
        </w:rPr>
        <w:t xml:space="preserve">ue o segmento </w:t>
      </w:r>
      <w:r w:rsidR="008F4FAA" w:rsidRPr="00F125C5">
        <w:rPr>
          <w:rFonts w:ascii="Arial" w:hAnsi="Arial" w:cs="Arial"/>
        </w:rPr>
        <w:t>não</w:t>
      </w:r>
      <w:r w:rsidR="00333EFB" w:rsidRPr="00F125C5">
        <w:rPr>
          <w:rFonts w:ascii="Arial" w:hAnsi="Arial" w:cs="Arial"/>
        </w:rPr>
        <w:t xml:space="preserve"> precisa no momento. </w:t>
      </w:r>
    </w:p>
    <w:p w14:paraId="0B3A0F1F" w14:textId="77777777" w:rsidR="00E91015" w:rsidRPr="00F125C5" w:rsidRDefault="00E91015" w:rsidP="005573AA">
      <w:pPr>
        <w:pStyle w:val="PargrafodaLista"/>
        <w:spacing w:after="0" w:line="360" w:lineRule="auto"/>
        <w:ind w:left="0"/>
        <w:jc w:val="both"/>
        <w:rPr>
          <w:rFonts w:ascii="Arial" w:hAnsi="Arial" w:cs="Arial"/>
          <w:b/>
        </w:rPr>
      </w:pPr>
    </w:p>
    <w:p w14:paraId="7C530FEC" w14:textId="33C6A0AE" w:rsidR="00BC04CA" w:rsidRDefault="003E47DB" w:rsidP="006D6062">
      <w:pPr>
        <w:spacing w:after="0" w:line="360" w:lineRule="auto"/>
        <w:jc w:val="both"/>
        <w:rPr>
          <w:rFonts w:ascii="Arial" w:hAnsi="Arial" w:cs="Arial"/>
          <w:b/>
        </w:rPr>
      </w:pPr>
      <w:r w:rsidRPr="006D6062">
        <w:rPr>
          <w:rFonts w:ascii="Arial" w:hAnsi="Arial" w:cs="Arial"/>
          <w:b/>
        </w:rPr>
        <w:t xml:space="preserve">4.2. </w:t>
      </w:r>
      <w:r w:rsidR="008D0584" w:rsidRPr="006D6062">
        <w:rPr>
          <w:rFonts w:ascii="Arial" w:hAnsi="Arial" w:cs="Arial"/>
          <w:b/>
        </w:rPr>
        <w:t xml:space="preserve">Impactos de </w:t>
      </w:r>
      <w:r w:rsidR="00E91015" w:rsidRPr="006D6062">
        <w:rPr>
          <w:rFonts w:ascii="Arial" w:hAnsi="Arial" w:cs="Arial"/>
          <w:b/>
        </w:rPr>
        <w:t xml:space="preserve">eventual alteração das regras aplicáveis aos </w:t>
      </w:r>
      <w:proofErr w:type="spellStart"/>
      <w:r w:rsidR="00E91015" w:rsidRPr="006D6062">
        <w:rPr>
          <w:rFonts w:ascii="Arial" w:hAnsi="Arial" w:cs="Arial"/>
          <w:b/>
        </w:rPr>
        <w:t>TRRs</w:t>
      </w:r>
      <w:proofErr w:type="spellEnd"/>
    </w:p>
    <w:p w14:paraId="25461275" w14:textId="77777777" w:rsidR="006D6062" w:rsidRPr="006D6062" w:rsidRDefault="006D6062" w:rsidP="006D6062">
      <w:pPr>
        <w:spacing w:after="0" w:line="360" w:lineRule="auto"/>
        <w:jc w:val="both"/>
        <w:rPr>
          <w:rFonts w:ascii="Arial" w:hAnsi="Arial" w:cs="Arial"/>
          <w:b/>
        </w:rPr>
      </w:pPr>
    </w:p>
    <w:p w14:paraId="66117BCB" w14:textId="35D30AD3" w:rsidR="00BC04CA" w:rsidRPr="00F125C5" w:rsidRDefault="00BC04CA" w:rsidP="005573AA">
      <w:pPr>
        <w:spacing w:after="0" w:line="360" w:lineRule="auto"/>
        <w:ind w:firstLine="567"/>
        <w:jc w:val="both"/>
        <w:rPr>
          <w:rFonts w:ascii="Arial" w:hAnsi="Arial" w:cs="Arial"/>
        </w:rPr>
      </w:pPr>
      <w:r w:rsidRPr="00F125C5">
        <w:rPr>
          <w:rFonts w:ascii="Arial" w:hAnsi="Arial" w:cs="Arial"/>
        </w:rPr>
        <w:t>Outro ponto a ser aventado é relacionado a revisão de barreiras regulatórias que tem como objeto os Transportadores-Revendedores-Retalhistas (</w:t>
      </w:r>
      <w:proofErr w:type="spellStart"/>
      <w:r w:rsidRPr="00F125C5">
        <w:rPr>
          <w:rFonts w:ascii="Arial" w:hAnsi="Arial" w:cs="Arial"/>
        </w:rPr>
        <w:t>TRRs</w:t>
      </w:r>
      <w:proofErr w:type="spellEnd"/>
      <w:r w:rsidRPr="00F125C5">
        <w:rPr>
          <w:rFonts w:ascii="Arial" w:hAnsi="Arial" w:cs="Arial"/>
        </w:rPr>
        <w:t xml:space="preserve">), empresas devidamente autorizadas pela ANP com instalações com capacidade mínima de 45 m³ (quarenta e cinco metros cúbicos), que comercializam óleo diesel B para consumidor que adquira combustível para abastecimento direto de máquinas e veículos que possuam restrição de locomoção, dificuldades operacionais ou que estejam em locais de difícil deslocamento; ou que possuam, em seu estabelecimento, </w:t>
      </w:r>
      <w:proofErr w:type="spellStart"/>
      <w:r w:rsidRPr="00F125C5">
        <w:rPr>
          <w:rFonts w:ascii="Arial" w:hAnsi="Arial" w:cs="Arial"/>
        </w:rPr>
        <w:t>tancagem</w:t>
      </w:r>
      <w:proofErr w:type="spellEnd"/>
      <w:r w:rsidRPr="00F125C5">
        <w:rPr>
          <w:rFonts w:ascii="Arial" w:hAnsi="Arial" w:cs="Arial"/>
        </w:rPr>
        <w:t xml:space="preserve"> com instalações aéreas ou subterrâneas para funcionamento de Ponto de Abastecimento e/ou equipamento fixo. </w:t>
      </w:r>
    </w:p>
    <w:p w14:paraId="47C6FBEE" w14:textId="127FC258" w:rsidR="00BC04CA" w:rsidRPr="00F125C5" w:rsidRDefault="00BC04CA" w:rsidP="005573AA">
      <w:pPr>
        <w:spacing w:after="0" w:line="360" w:lineRule="auto"/>
        <w:ind w:firstLine="567"/>
        <w:jc w:val="both"/>
        <w:rPr>
          <w:rFonts w:ascii="Arial" w:hAnsi="Arial" w:cs="Arial"/>
        </w:rPr>
      </w:pPr>
      <w:r w:rsidRPr="00F125C5">
        <w:rPr>
          <w:rFonts w:ascii="Arial" w:hAnsi="Arial" w:cs="Arial"/>
        </w:rPr>
        <w:t xml:space="preserve">Conforme determinado pela Resolução </w:t>
      </w:r>
      <w:r w:rsidR="00D96296" w:rsidRPr="00F125C5">
        <w:rPr>
          <w:rFonts w:ascii="Arial" w:hAnsi="Arial" w:cs="Arial"/>
        </w:rPr>
        <w:t xml:space="preserve">da </w:t>
      </w:r>
      <w:r w:rsidRPr="00F125C5">
        <w:rPr>
          <w:rFonts w:ascii="Arial" w:hAnsi="Arial" w:cs="Arial"/>
        </w:rPr>
        <w:t>ANP nº 34</w:t>
      </w:r>
      <w:r w:rsidR="00D96296" w:rsidRPr="00F125C5">
        <w:rPr>
          <w:rFonts w:ascii="Arial" w:hAnsi="Arial" w:cs="Arial"/>
        </w:rPr>
        <w:t>/</w:t>
      </w:r>
      <w:r w:rsidRPr="00F125C5">
        <w:rPr>
          <w:rFonts w:ascii="Arial" w:hAnsi="Arial" w:cs="Arial"/>
        </w:rPr>
        <w:t xml:space="preserve">2007, é vedado a esses agentes comercializar outros combustíveis, além de óleo diesel B; realizar compra de combustíveis de qualquer origem senão das distribuidoras; comercializar combustíveis para outros </w:t>
      </w:r>
      <w:proofErr w:type="spellStart"/>
      <w:r w:rsidRPr="00F125C5">
        <w:rPr>
          <w:rFonts w:ascii="Arial" w:hAnsi="Arial" w:cs="Arial"/>
        </w:rPr>
        <w:t>TRRs</w:t>
      </w:r>
      <w:proofErr w:type="spellEnd"/>
      <w:r w:rsidRPr="00F125C5">
        <w:rPr>
          <w:rFonts w:ascii="Arial" w:hAnsi="Arial" w:cs="Arial"/>
        </w:rPr>
        <w:t xml:space="preserve"> ou entre </w:t>
      </w:r>
      <w:proofErr w:type="spellStart"/>
      <w:r w:rsidRPr="00F125C5">
        <w:rPr>
          <w:rFonts w:ascii="Arial" w:hAnsi="Arial" w:cs="Arial"/>
        </w:rPr>
        <w:t>TRRs</w:t>
      </w:r>
      <w:proofErr w:type="spellEnd"/>
      <w:r w:rsidRPr="00F125C5">
        <w:rPr>
          <w:rFonts w:ascii="Arial" w:hAnsi="Arial" w:cs="Arial"/>
        </w:rPr>
        <w:t xml:space="preserve"> e revendedores varejistas.</w:t>
      </w:r>
    </w:p>
    <w:p w14:paraId="347BDDEF" w14:textId="77777777" w:rsidR="00BC04CA" w:rsidRPr="00F125C5" w:rsidRDefault="00BC04CA" w:rsidP="005573AA">
      <w:pPr>
        <w:spacing w:after="0" w:line="360" w:lineRule="auto"/>
        <w:ind w:firstLine="567"/>
        <w:jc w:val="both"/>
        <w:rPr>
          <w:rFonts w:ascii="Arial" w:hAnsi="Arial" w:cs="Arial"/>
        </w:rPr>
      </w:pPr>
      <w:r w:rsidRPr="00F125C5">
        <w:rPr>
          <w:rFonts w:ascii="Arial" w:hAnsi="Arial" w:cs="Arial"/>
        </w:rPr>
        <w:t>Esses agentes atuam na comercialização de óleo diesel B principalmente em locais não atendidos pelas distribuidoras</w:t>
      </w:r>
      <w:r w:rsidRPr="00F125C5">
        <w:rPr>
          <w:rStyle w:val="Refdenotaderodap"/>
          <w:rFonts w:ascii="Arial" w:hAnsi="Arial" w:cs="Arial"/>
        </w:rPr>
        <w:footnoteReference w:id="49"/>
      </w:r>
      <w:r w:rsidRPr="00F125C5">
        <w:rPr>
          <w:rFonts w:ascii="Arial" w:hAnsi="Arial" w:cs="Arial"/>
        </w:rPr>
        <w:t xml:space="preserve">, por inexistência de rede de distribuição, incapacidade técnica ou inexistência de </w:t>
      </w:r>
      <w:proofErr w:type="spellStart"/>
      <w:r w:rsidRPr="00F125C5">
        <w:rPr>
          <w:rFonts w:ascii="Arial" w:hAnsi="Arial" w:cs="Arial"/>
        </w:rPr>
        <w:t>tancagem</w:t>
      </w:r>
      <w:proofErr w:type="spellEnd"/>
      <w:r w:rsidRPr="00F125C5">
        <w:rPr>
          <w:rFonts w:ascii="Arial" w:hAnsi="Arial" w:cs="Arial"/>
        </w:rPr>
        <w:t xml:space="preserve"> disponível, entre outros motivos. Assim, se beneficiam de sua capilaridade acentuada para comercializar em locais periféricos, especialmente relacionados a maquinário imóvel ou de difícil locomoção.</w:t>
      </w:r>
    </w:p>
    <w:p w14:paraId="0EFDE667" w14:textId="4C72A585" w:rsidR="00BC04CA" w:rsidRPr="00F125C5" w:rsidRDefault="003208EB" w:rsidP="005573AA">
      <w:pPr>
        <w:spacing w:after="0" w:line="360" w:lineRule="auto"/>
        <w:ind w:firstLine="567"/>
        <w:jc w:val="both"/>
        <w:rPr>
          <w:rFonts w:ascii="Arial" w:hAnsi="Arial" w:cs="Arial"/>
        </w:rPr>
      </w:pPr>
      <w:r w:rsidRPr="00F125C5">
        <w:rPr>
          <w:rFonts w:ascii="Arial" w:hAnsi="Arial" w:cs="Arial"/>
        </w:rPr>
        <w:lastRenderedPageBreak/>
        <w:t>S</w:t>
      </w:r>
      <w:r w:rsidR="00BC04CA" w:rsidRPr="00F125C5">
        <w:rPr>
          <w:rFonts w:ascii="Arial" w:hAnsi="Arial" w:cs="Arial"/>
        </w:rPr>
        <w:t xml:space="preserve">ua atuação </w:t>
      </w:r>
      <w:r w:rsidRPr="00F125C5">
        <w:rPr>
          <w:rFonts w:ascii="Arial" w:hAnsi="Arial" w:cs="Arial"/>
        </w:rPr>
        <w:t>é</w:t>
      </w:r>
      <w:r w:rsidR="00BC04CA" w:rsidRPr="00F125C5">
        <w:rPr>
          <w:rFonts w:ascii="Arial" w:hAnsi="Arial" w:cs="Arial"/>
        </w:rPr>
        <w:t xml:space="preserve"> focada no nicho de mercado reservado a esses agentes pela Resolução ANP nº 34, que são dos consumidores com </w:t>
      </w:r>
      <w:proofErr w:type="spellStart"/>
      <w:r w:rsidR="00BC04CA" w:rsidRPr="00F125C5">
        <w:rPr>
          <w:rFonts w:ascii="Arial" w:hAnsi="Arial" w:cs="Arial"/>
        </w:rPr>
        <w:t>tancagem</w:t>
      </w:r>
      <w:proofErr w:type="spellEnd"/>
      <w:r w:rsidR="00BC04CA" w:rsidRPr="00F125C5">
        <w:rPr>
          <w:rFonts w:ascii="Arial" w:hAnsi="Arial" w:cs="Arial"/>
        </w:rPr>
        <w:t xml:space="preserve"> inferior a 15m³, seja para posto de abastecimento, equipamento fixo ou maquinário imóvel/com dificuldade de locomoção. Atuam também em um segundo nicho, o de consumidores com as mesmas características, porém com </w:t>
      </w:r>
      <w:proofErr w:type="spellStart"/>
      <w:r w:rsidR="00BC04CA" w:rsidRPr="00F125C5">
        <w:rPr>
          <w:rFonts w:ascii="Arial" w:hAnsi="Arial" w:cs="Arial"/>
        </w:rPr>
        <w:t>tancagem</w:t>
      </w:r>
      <w:proofErr w:type="spellEnd"/>
      <w:r w:rsidR="00BC04CA" w:rsidRPr="00F125C5">
        <w:rPr>
          <w:rFonts w:ascii="Arial" w:hAnsi="Arial" w:cs="Arial"/>
        </w:rPr>
        <w:t xml:space="preserve"> superior a 15m³</w:t>
      </w:r>
      <w:r w:rsidR="00BC04CA" w:rsidRPr="00F125C5">
        <w:rPr>
          <w:rStyle w:val="Refdenotaderodap"/>
          <w:rFonts w:ascii="Arial" w:hAnsi="Arial" w:cs="Arial"/>
        </w:rPr>
        <w:footnoteReference w:id="50"/>
      </w:r>
      <w:r w:rsidR="00BC04CA" w:rsidRPr="00F125C5">
        <w:rPr>
          <w:rFonts w:ascii="Arial" w:hAnsi="Arial" w:cs="Arial"/>
        </w:rPr>
        <w:t xml:space="preserve">, onde a atuação dos </w:t>
      </w:r>
      <w:proofErr w:type="spellStart"/>
      <w:r w:rsidR="00BC04CA" w:rsidRPr="00F125C5">
        <w:rPr>
          <w:rFonts w:ascii="Arial" w:hAnsi="Arial" w:cs="Arial"/>
        </w:rPr>
        <w:t>TRRs</w:t>
      </w:r>
      <w:proofErr w:type="spellEnd"/>
      <w:r w:rsidR="00BC04CA" w:rsidRPr="00F125C5">
        <w:rPr>
          <w:rFonts w:ascii="Arial" w:hAnsi="Arial" w:cs="Arial"/>
        </w:rPr>
        <w:t xml:space="preserve"> é mais restrita devido à pressão competitiva exercida pelas distribuidoras.</w:t>
      </w:r>
    </w:p>
    <w:p w14:paraId="7F2A110F" w14:textId="233E3819" w:rsidR="00944CA2" w:rsidRPr="00F125C5" w:rsidRDefault="00BC04CA" w:rsidP="005573AA">
      <w:pPr>
        <w:spacing w:after="0" w:line="360" w:lineRule="auto"/>
        <w:ind w:firstLine="567"/>
        <w:jc w:val="both"/>
        <w:rPr>
          <w:rFonts w:ascii="Arial" w:hAnsi="Arial" w:cs="Arial"/>
        </w:rPr>
      </w:pPr>
      <w:r w:rsidRPr="00F125C5">
        <w:rPr>
          <w:rFonts w:ascii="Arial" w:hAnsi="Arial" w:cs="Arial"/>
        </w:rPr>
        <w:t xml:space="preserve">No nicho de mercado dos grandes consumidores, os </w:t>
      </w:r>
      <w:proofErr w:type="spellStart"/>
      <w:r w:rsidRPr="00F125C5">
        <w:rPr>
          <w:rFonts w:ascii="Arial" w:hAnsi="Arial" w:cs="Arial"/>
        </w:rPr>
        <w:t>TRRs</w:t>
      </w:r>
      <w:proofErr w:type="spellEnd"/>
      <w:r w:rsidRPr="00F125C5">
        <w:rPr>
          <w:rFonts w:ascii="Arial" w:hAnsi="Arial" w:cs="Arial"/>
        </w:rPr>
        <w:t xml:space="preserve"> atuam em áreas onde as distribuidoras apresentam falhas de capilaridade que podem corrigidas pela oferta de óleo diesel B pelos </w:t>
      </w:r>
      <w:proofErr w:type="spellStart"/>
      <w:r w:rsidRPr="00F125C5">
        <w:rPr>
          <w:rFonts w:ascii="Arial" w:hAnsi="Arial" w:cs="Arial"/>
        </w:rPr>
        <w:t>TRRs</w:t>
      </w:r>
      <w:proofErr w:type="spellEnd"/>
      <w:r w:rsidRPr="00F125C5">
        <w:rPr>
          <w:rFonts w:ascii="Arial" w:hAnsi="Arial" w:cs="Arial"/>
        </w:rPr>
        <w:t>, capazes de entregar os combustíveis a lugares não atendidos.</w:t>
      </w:r>
    </w:p>
    <w:p w14:paraId="5CD98266" w14:textId="579DECF7" w:rsidR="00BC04CA" w:rsidRPr="00F125C5" w:rsidRDefault="00944CA2">
      <w:pPr>
        <w:spacing w:after="0" w:line="360" w:lineRule="auto"/>
        <w:ind w:firstLine="567"/>
        <w:jc w:val="both"/>
        <w:rPr>
          <w:rFonts w:ascii="Arial" w:hAnsi="Arial" w:cs="Arial"/>
        </w:rPr>
      </w:pPr>
      <w:r w:rsidRPr="00F125C5">
        <w:rPr>
          <w:rFonts w:ascii="Arial" w:hAnsi="Arial" w:cs="Arial"/>
        </w:rPr>
        <w:t xml:space="preserve">Assim, entendemos que a extinção das proibições e obrigatoriedades impostas à atividade do TRR pode ocorrer desde que o TRR se regularize a exercer a atividade de distribuição de combustíveis. Não sendo este o caso, tais propostas certamente comprometeriam o setor, pois estaria sendo criada uma assimetria concorrencial, em prejuízo da higidez concorrencial do setor de distribuição de combustíveis e do sistema nacional de abastecimento de combustíveis, uma vez que os requisitos exigidos para o desempenho da atividade de distribuição objetivam, precisamente, a garantia de suprimento, a segurança operacional, a proteção do meio ambiente, a proteção da qualidade do produto e o respeito aos direitos e garantias do consumidor. Vale lembrar, neste sentido, que a maioria dos </w:t>
      </w:r>
      <w:proofErr w:type="spellStart"/>
      <w:r w:rsidRPr="00F125C5">
        <w:rPr>
          <w:rFonts w:ascii="Arial" w:hAnsi="Arial" w:cs="Arial"/>
        </w:rPr>
        <w:t>TRRs</w:t>
      </w:r>
      <w:proofErr w:type="spellEnd"/>
      <w:r w:rsidRPr="00F125C5">
        <w:rPr>
          <w:rFonts w:ascii="Arial" w:hAnsi="Arial" w:cs="Arial"/>
        </w:rPr>
        <w:t xml:space="preserve"> já possui capacidade econômica para atender os requisitos tipicamente exigidos dos demais distribuidores, não havendo motivação técnica ou financeira para que tais entidades continuem a usufruir das exceções atualmente existentes.</w:t>
      </w:r>
    </w:p>
    <w:p w14:paraId="50A1E493" w14:textId="77777777" w:rsidR="007353BD" w:rsidRPr="00F125C5" w:rsidRDefault="007353BD" w:rsidP="00F5691F">
      <w:pPr>
        <w:spacing w:after="0" w:line="360" w:lineRule="auto"/>
        <w:jc w:val="both"/>
        <w:rPr>
          <w:rFonts w:ascii="Arial" w:hAnsi="Arial" w:cs="Arial"/>
        </w:rPr>
      </w:pPr>
    </w:p>
    <w:p w14:paraId="46432999" w14:textId="66EBE9BB" w:rsidR="00172054" w:rsidRDefault="006D6062" w:rsidP="006D6062">
      <w:pPr>
        <w:spacing w:after="0" w:line="360" w:lineRule="auto"/>
        <w:jc w:val="both"/>
        <w:rPr>
          <w:rFonts w:ascii="Arial" w:hAnsi="Arial" w:cs="Arial"/>
          <w:b/>
        </w:rPr>
      </w:pPr>
      <w:r>
        <w:rPr>
          <w:rFonts w:ascii="Arial" w:hAnsi="Arial" w:cs="Arial"/>
          <w:b/>
        </w:rPr>
        <w:t xml:space="preserve">5. </w:t>
      </w:r>
      <w:r w:rsidR="00F33EC5" w:rsidRPr="006D6062">
        <w:rPr>
          <w:rFonts w:ascii="Arial" w:hAnsi="Arial" w:cs="Arial"/>
          <w:b/>
        </w:rPr>
        <w:t>CONCLUSÃO</w:t>
      </w:r>
    </w:p>
    <w:p w14:paraId="03728CB8" w14:textId="77777777" w:rsidR="006D6062" w:rsidRPr="006D6062" w:rsidRDefault="006D6062" w:rsidP="006D6062">
      <w:pPr>
        <w:spacing w:after="0" w:line="360" w:lineRule="auto"/>
        <w:jc w:val="both"/>
        <w:rPr>
          <w:rFonts w:ascii="Arial" w:hAnsi="Arial" w:cs="Arial"/>
          <w:b/>
        </w:rPr>
      </w:pPr>
    </w:p>
    <w:p w14:paraId="2DE021D5" w14:textId="029E48E3" w:rsidR="000839D4" w:rsidRPr="00F125C5" w:rsidRDefault="00C46619" w:rsidP="00172054">
      <w:pPr>
        <w:spacing w:after="0" w:line="360" w:lineRule="auto"/>
        <w:ind w:firstLine="708"/>
        <w:jc w:val="both"/>
        <w:rPr>
          <w:rFonts w:ascii="Arial" w:hAnsi="Arial" w:cs="Arial"/>
        </w:rPr>
      </w:pPr>
      <w:r w:rsidRPr="00F125C5">
        <w:rPr>
          <w:rFonts w:ascii="Arial" w:hAnsi="Arial" w:cs="Arial"/>
        </w:rPr>
        <w:t>H</w:t>
      </w:r>
      <w:r w:rsidR="00D315A9" w:rsidRPr="00F125C5">
        <w:rPr>
          <w:rFonts w:ascii="Arial" w:hAnsi="Arial" w:cs="Arial"/>
        </w:rPr>
        <w:t xml:space="preserve">á evidências concretas de que os efeitos da verticalização </w:t>
      </w:r>
      <w:r w:rsidR="000839D4" w:rsidRPr="00F125C5">
        <w:rPr>
          <w:rFonts w:ascii="Arial" w:hAnsi="Arial" w:cs="Arial"/>
        </w:rPr>
        <w:t xml:space="preserve">e sobretudo da venda direta </w:t>
      </w:r>
      <w:r w:rsidR="00D315A9" w:rsidRPr="00F125C5">
        <w:rPr>
          <w:rFonts w:ascii="Arial" w:hAnsi="Arial" w:cs="Arial"/>
        </w:rPr>
        <w:t xml:space="preserve">são complexos e por vezes imprevisíveis, </w:t>
      </w:r>
      <w:r w:rsidR="00EC29AA" w:rsidRPr="00F125C5">
        <w:rPr>
          <w:rFonts w:ascii="Arial" w:hAnsi="Arial" w:cs="Arial"/>
        </w:rPr>
        <w:t>envolvendo</w:t>
      </w:r>
      <w:r w:rsidR="00D315A9" w:rsidRPr="00F125C5">
        <w:rPr>
          <w:rFonts w:ascii="Arial" w:hAnsi="Arial" w:cs="Arial"/>
        </w:rPr>
        <w:t xml:space="preserve"> eficiências e riscos concorrenciais cuja análise extrapola variáveis restritas à</w:t>
      </w:r>
      <w:r w:rsidR="000839D4" w:rsidRPr="00F125C5">
        <w:rPr>
          <w:rFonts w:ascii="Arial" w:hAnsi="Arial" w:cs="Arial"/>
        </w:rPr>
        <w:t>s</w:t>
      </w:r>
      <w:r w:rsidR="00D315A9" w:rsidRPr="00F125C5">
        <w:rPr>
          <w:rFonts w:ascii="Arial" w:hAnsi="Arial" w:cs="Arial"/>
        </w:rPr>
        <w:t xml:space="preserve"> </w:t>
      </w:r>
      <w:r w:rsidR="00EC29AA" w:rsidRPr="00F125C5">
        <w:rPr>
          <w:rFonts w:ascii="Arial" w:hAnsi="Arial" w:cs="Arial"/>
        </w:rPr>
        <w:t>própria</w:t>
      </w:r>
      <w:r w:rsidR="000839D4" w:rsidRPr="00F125C5">
        <w:rPr>
          <w:rFonts w:ascii="Arial" w:hAnsi="Arial" w:cs="Arial"/>
        </w:rPr>
        <w:t>s matérias</w:t>
      </w:r>
      <w:r w:rsidR="00D315A9" w:rsidRPr="00F125C5">
        <w:rPr>
          <w:rStyle w:val="Refdenotaderodap"/>
          <w:rFonts w:ascii="Arial" w:hAnsi="Arial" w:cs="Arial"/>
        </w:rPr>
        <w:footnoteReference w:id="51"/>
      </w:r>
      <w:r w:rsidR="000839D4" w:rsidRPr="00F125C5">
        <w:rPr>
          <w:rFonts w:ascii="Arial" w:hAnsi="Arial" w:cs="Arial"/>
        </w:rPr>
        <w:t xml:space="preserve">. </w:t>
      </w:r>
    </w:p>
    <w:p w14:paraId="4B4500EF" w14:textId="24FAD606" w:rsidR="00A5760E" w:rsidRPr="00F125C5" w:rsidRDefault="000839D4" w:rsidP="00172054">
      <w:pPr>
        <w:spacing w:after="0" w:line="360" w:lineRule="auto"/>
        <w:ind w:firstLine="708"/>
        <w:jc w:val="both"/>
        <w:rPr>
          <w:rFonts w:ascii="Arial" w:hAnsi="Arial" w:cs="Arial"/>
        </w:rPr>
      </w:pPr>
      <w:r w:rsidRPr="00F125C5">
        <w:rPr>
          <w:rFonts w:ascii="Arial" w:hAnsi="Arial" w:cs="Arial"/>
        </w:rPr>
        <w:t>Especialmente em relação à verticalização, é</w:t>
      </w:r>
      <w:r w:rsidR="00EC29AA" w:rsidRPr="00F125C5">
        <w:rPr>
          <w:rFonts w:ascii="Arial" w:hAnsi="Arial" w:cs="Arial"/>
        </w:rPr>
        <w:t xml:space="preserve"> razoável afirmar</w:t>
      </w:r>
      <w:r w:rsidRPr="00F125C5">
        <w:rPr>
          <w:rFonts w:ascii="Arial" w:hAnsi="Arial" w:cs="Arial"/>
        </w:rPr>
        <w:t xml:space="preserve">, </w:t>
      </w:r>
      <w:r w:rsidR="00EC29AA" w:rsidRPr="00F125C5">
        <w:rPr>
          <w:rFonts w:ascii="Arial" w:hAnsi="Arial" w:cs="Arial"/>
        </w:rPr>
        <w:t>que não há</w:t>
      </w:r>
      <w:r w:rsidR="00A5760E" w:rsidRPr="00F125C5">
        <w:rPr>
          <w:rFonts w:ascii="Arial" w:hAnsi="Arial" w:cs="Arial"/>
        </w:rPr>
        <w:t xml:space="preserve"> garantia </w:t>
      </w:r>
      <w:r w:rsidR="00AA0FDF" w:rsidRPr="00F125C5">
        <w:rPr>
          <w:rFonts w:ascii="Arial" w:hAnsi="Arial" w:cs="Arial"/>
        </w:rPr>
        <w:t>das</w:t>
      </w:r>
      <w:r w:rsidR="00EC29AA" w:rsidRPr="00F125C5">
        <w:rPr>
          <w:rFonts w:ascii="Arial" w:hAnsi="Arial" w:cs="Arial"/>
        </w:rPr>
        <w:t xml:space="preserve"> supostas</w:t>
      </w:r>
      <w:r w:rsidR="00AA0FDF" w:rsidRPr="00F125C5">
        <w:rPr>
          <w:rFonts w:ascii="Arial" w:hAnsi="Arial" w:cs="Arial"/>
        </w:rPr>
        <w:t xml:space="preserve"> vantagens </w:t>
      </w:r>
      <w:r w:rsidR="004152BC" w:rsidRPr="00F125C5">
        <w:rPr>
          <w:rFonts w:ascii="Arial" w:hAnsi="Arial" w:cs="Arial"/>
        </w:rPr>
        <w:t>que um processo de verticalização no mercado de combustíveis apresentaria em relação ao modelo atual</w:t>
      </w:r>
      <w:r w:rsidR="00CF51C6" w:rsidRPr="00F125C5">
        <w:rPr>
          <w:rFonts w:ascii="Arial" w:hAnsi="Arial" w:cs="Arial"/>
        </w:rPr>
        <w:t xml:space="preserve">. </w:t>
      </w:r>
      <w:r w:rsidR="00FB077F" w:rsidRPr="00F125C5">
        <w:rPr>
          <w:rFonts w:ascii="Arial" w:hAnsi="Arial" w:cs="Arial"/>
        </w:rPr>
        <w:t xml:space="preserve">São necessários estudos </w:t>
      </w:r>
      <w:r w:rsidR="00FB077F" w:rsidRPr="00F125C5">
        <w:rPr>
          <w:rFonts w:ascii="Arial" w:hAnsi="Arial" w:cs="Arial"/>
        </w:rPr>
        <w:lastRenderedPageBreak/>
        <w:t>adicionais</w:t>
      </w:r>
      <w:r w:rsidR="00D16485" w:rsidRPr="00F125C5">
        <w:rPr>
          <w:rFonts w:ascii="Arial" w:hAnsi="Arial" w:cs="Arial"/>
        </w:rPr>
        <w:t xml:space="preserve">, ademais, </w:t>
      </w:r>
      <w:r w:rsidR="00FB077F" w:rsidRPr="00F125C5">
        <w:rPr>
          <w:rFonts w:ascii="Arial" w:hAnsi="Arial" w:cs="Arial"/>
        </w:rPr>
        <w:t xml:space="preserve">para entender </w:t>
      </w:r>
      <w:r w:rsidR="000578E8" w:rsidRPr="00F125C5">
        <w:rPr>
          <w:rFonts w:ascii="Arial" w:hAnsi="Arial" w:cs="Arial"/>
        </w:rPr>
        <w:t>como</w:t>
      </w:r>
      <w:r w:rsidR="00D16485" w:rsidRPr="00F125C5">
        <w:rPr>
          <w:rFonts w:ascii="Arial" w:hAnsi="Arial" w:cs="Arial"/>
        </w:rPr>
        <w:t xml:space="preserve"> </w:t>
      </w:r>
      <w:r w:rsidR="00FB077F" w:rsidRPr="00F125C5">
        <w:rPr>
          <w:rFonts w:ascii="Arial" w:hAnsi="Arial" w:cs="Arial"/>
        </w:rPr>
        <w:t xml:space="preserve">a </w:t>
      </w:r>
      <w:r w:rsidR="00D16485" w:rsidRPr="00F125C5">
        <w:rPr>
          <w:rFonts w:ascii="Arial" w:hAnsi="Arial" w:cs="Arial"/>
        </w:rPr>
        <w:t xml:space="preserve">concorrência seria </w:t>
      </w:r>
      <w:r w:rsidR="00FB077F" w:rsidRPr="00F125C5">
        <w:rPr>
          <w:rFonts w:ascii="Arial" w:hAnsi="Arial" w:cs="Arial"/>
        </w:rPr>
        <w:t>afetada</w:t>
      </w:r>
      <w:r w:rsidR="00D16485" w:rsidRPr="00F125C5">
        <w:rPr>
          <w:rFonts w:ascii="Arial" w:hAnsi="Arial" w:cs="Arial"/>
        </w:rPr>
        <w:t xml:space="preserve"> </w:t>
      </w:r>
      <w:r w:rsidR="00C53126" w:rsidRPr="00F125C5">
        <w:rPr>
          <w:rFonts w:ascii="Arial" w:hAnsi="Arial" w:cs="Arial"/>
        </w:rPr>
        <w:t xml:space="preserve">por eventuais mudanças da </w:t>
      </w:r>
      <w:r w:rsidR="00D16485" w:rsidRPr="00F125C5">
        <w:rPr>
          <w:rFonts w:ascii="Arial" w:hAnsi="Arial" w:cs="Arial"/>
        </w:rPr>
        <w:t>atual sistemática regulatória</w:t>
      </w:r>
      <w:r w:rsidR="00441C71" w:rsidRPr="00F125C5">
        <w:rPr>
          <w:rFonts w:ascii="Arial" w:hAnsi="Arial" w:cs="Arial"/>
        </w:rPr>
        <w:t xml:space="preserve">. </w:t>
      </w:r>
    </w:p>
    <w:p w14:paraId="362F07FB" w14:textId="0FFF0982" w:rsidR="00306C8D" w:rsidRPr="00F125C5" w:rsidRDefault="00846C18" w:rsidP="00535C4F">
      <w:pPr>
        <w:spacing w:after="0" w:line="360" w:lineRule="auto"/>
        <w:ind w:firstLine="708"/>
        <w:jc w:val="both"/>
        <w:rPr>
          <w:rFonts w:ascii="Arial" w:hAnsi="Arial" w:cs="Arial"/>
        </w:rPr>
      </w:pPr>
      <w:r w:rsidRPr="00F125C5">
        <w:rPr>
          <w:rFonts w:ascii="Arial" w:hAnsi="Arial" w:cs="Arial"/>
        </w:rPr>
        <w:t xml:space="preserve">Como demonstrado, </w:t>
      </w:r>
      <w:r w:rsidR="00306C8D" w:rsidRPr="00F125C5">
        <w:rPr>
          <w:rFonts w:ascii="Arial" w:hAnsi="Arial" w:cs="Arial"/>
        </w:rPr>
        <w:t>há uma série de modelos regulatórios que variam em relação ao tratamento conferido às relações verticais no setor de combustíveis. O modelo</w:t>
      </w:r>
      <w:r w:rsidR="00462F15" w:rsidRPr="00F125C5">
        <w:rPr>
          <w:rFonts w:ascii="Arial" w:hAnsi="Arial" w:cs="Arial"/>
        </w:rPr>
        <w:t xml:space="preserve"> brasileiro atual</w:t>
      </w:r>
      <w:r w:rsidR="00315E6D" w:rsidRPr="00F125C5">
        <w:rPr>
          <w:rFonts w:ascii="Arial" w:hAnsi="Arial" w:cs="Arial"/>
        </w:rPr>
        <w:t xml:space="preserve"> admite uma série de arranjos produtivos que acabam reduzindo a incerteza no setor e que, consequentemente, evitam o problema de </w:t>
      </w:r>
      <w:proofErr w:type="spellStart"/>
      <w:r w:rsidR="00315E6D" w:rsidRPr="00F125C5">
        <w:rPr>
          <w:rFonts w:ascii="Arial" w:hAnsi="Arial" w:cs="Arial"/>
          <w:i/>
        </w:rPr>
        <w:t>hold-up</w:t>
      </w:r>
      <w:proofErr w:type="spellEnd"/>
      <w:r w:rsidR="00315E6D" w:rsidRPr="00F125C5">
        <w:rPr>
          <w:rFonts w:ascii="Arial" w:hAnsi="Arial" w:cs="Arial"/>
          <w:i/>
        </w:rPr>
        <w:t xml:space="preserve"> </w:t>
      </w:r>
      <w:r w:rsidR="00315E6D" w:rsidRPr="00F125C5">
        <w:rPr>
          <w:rFonts w:ascii="Arial" w:hAnsi="Arial" w:cs="Arial"/>
        </w:rPr>
        <w:t>de investimentos</w:t>
      </w:r>
      <w:r w:rsidR="00A407F5" w:rsidRPr="00F125C5">
        <w:rPr>
          <w:rFonts w:ascii="Arial" w:hAnsi="Arial" w:cs="Arial"/>
        </w:rPr>
        <w:t xml:space="preserve">, sobretudo em função da tutela regulatória dos contratos de exclusividade. </w:t>
      </w:r>
    </w:p>
    <w:p w14:paraId="1C60C062" w14:textId="4F178258" w:rsidR="00BE6701" w:rsidRPr="00F125C5" w:rsidRDefault="00C14BB7" w:rsidP="00535C4F">
      <w:pPr>
        <w:spacing w:after="0" w:line="360" w:lineRule="auto"/>
        <w:ind w:firstLine="708"/>
        <w:jc w:val="both"/>
        <w:rPr>
          <w:rFonts w:ascii="Arial" w:hAnsi="Arial" w:cs="Arial"/>
        </w:rPr>
      </w:pPr>
      <w:r w:rsidRPr="00F125C5">
        <w:rPr>
          <w:rFonts w:ascii="Arial" w:hAnsi="Arial" w:cs="Arial"/>
        </w:rPr>
        <w:t>A estrutura de mercado brasileira e os elementos preliminares colhidos em mercados nos quais se permite a verticalização</w:t>
      </w:r>
      <w:r w:rsidR="001544D8" w:rsidRPr="00F125C5">
        <w:rPr>
          <w:rFonts w:ascii="Arial" w:hAnsi="Arial" w:cs="Arial"/>
        </w:rPr>
        <w:t xml:space="preserve"> levam a </w:t>
      </w:r>
      <w:r w:rsidR="00404DBD" w:rsidRPr="00F125C5">
        <w:rPr>
          <w:rFonts w:ascii="Arial" w:hAnsi="Arial" w:cs="Arial"/>
        </w:rPr>
        <w:t>certo</w:t>
      </w:r>
      <w:r w:rsidR="001544D8" w:rsidRPr="00F125C5">
        <w:rPr>
          <w:rFonts w:ascii="Arial" w:hAnsi="Arial" w:cs="Arial"/>
        </w:rPr>
        <w:t xml:space="preserve"> ceticismo </w:t>
      </w:r>
      <w:r w:rsidR="00414D1E" w:rsidRPr="00F125C5">
        <w:rPr>
          <w:rFonts w:ascii="Arial" w:hAnsi="Arial" w:cs="Arial"/>
        </w:rPr>
        <w:t xml:space="preserve">em relação aos </w:t>
      </w:r>
      <w:r w:rsidR="00A70A23" w:rsidRPr="00F125C5">
        <w:rPr>
          <w:rFonts w:ascii="Arial" w:hAnsi="Arial" w:cs="Arial"/>
        </w:rPr>
        <w:t>potenciais ganhos associados</w:t>
      </w:r>
      <w:r w:rsidR="005D497E" w:rsidRPr="00F125C5">
        <w:rPr>
          <w:rFonts w:ascii="Arial" w:hAnsi="Arial" w:cs="Arial"/>
        </w:rPr>
        <w:t xml:space="preserve"> a modelos de verticalização integral. Especialmente porque</w:t>
      </w:r>
      <w:r w:rsidR="0005448A" w:rsidRPr="00F125C5">
        <w:rPr>
          <w:rFonts w:ascii="Arial" w:hAnsi="Arial" w:cs="Arial"/>
        </w:rPr>
        <w:t>, no Brasil, a margem de lucro de distribuição e revenda está longe de ser o maior componente de custo dos combustíveis</w:t>
      </w:r>
      <w:r w:rsidR="00353232" w:rsidRPr="00F125C5">
        <w:rPr>
          <w:rFonts w:ascii="Arial" w:hAnsi="Arial" w:cs="Arial"/>
        </w:rPr>
        <w:t>. Como vimos, o custo é fortemente afetado pela carga tributária</w:t>
      </w:r>
      <w:r w:rsidR="00B803E9" w:rsidRPr="00F125C5">
        <w:rPr>
          <w:rFonts w:ascii="Arial" w:hAnsi="Arial" w:cs="Arial"/>
        </w:rPr>
        <w:t xml:space="preserve"> e pelos custos de produção e logística.</w:t>
      </w:r>
    </w:p>
    <w:p w14:paraId="3141B7C7" w14:textId="77777777" w:rsidR="00B803E9" w:rsidRPr="00F125C5" w:rsidRDefault="00B803E9" w:rsidP="00535C4F">
      <w:pPr>
        <w:spacing w:after="0" w:line="360" w:lineRule="auto"/>
        <w:ind w:firstLine="708"/>
        <w:jc w:val="both"/>
        <w:rPr>
          <w:rFonts w:ascii="Arial" w:hAnsi="Arial" w:cs="Arial"/>
        </w:rPr>
      </w:pPr>
      <w:r w:rsidRPr="00F125C5">
        <w:rPr>
          <w:rFonts w:ascii="Arial" w:hAnsi="Arial" w:cs="Arial"/>
        </w:rPr>
        <w:t xml:space="preserve">Porém, como ressaltamos ao longo desta manifestação, estudos empíricos mais detalhados, para atestar com mais clareza as eventuais vantagens de alteração das normas que regem o setor, deveriam ser realizados antes de qualquer mudança mais radical. </w:t>
      </w:r>
    </w:p>
    <w:p w14:paraId="726511DE" w14:textId="1D655A92" w:rsidR="000839D4" w:rsidRPr="00F125C5" w:rsidRDefault="000839D4" w:rsidP="00535C4F">
      <w:pPr>
        <w:spacing w:after="0" w:line="360" w:lineRule="auto"/>
        <w:ind w:firstLine="708"/>
        <w:jc w:val="both"/>
        <w:rPr>
          <w:rFonts w:ascii="Arial" w:hAnsi="Arial" w:cs="Arial"/>
        </w:rPr>
      </w:pPr>
      <w:r w:rsidRPr="00F125C5">
        <w:rPr>
          <w:rFonts w:ascii="Arial" w:hAnsi="Arial" w:cs="Arial"/>
        </w:rPr>
        <w:t>Quanta à venda direta, somente vemos potencial destrutivo na proposta. Para além da enorme insegurança jurídica que a sua discussão está gerando, eventual autorização para comercialização direta colocaria em risco a segurança tributária do sistema, bem como a atual organização para assegurar o abastecimento do país.</w:t>
      </w:r>
    </w:p>
    <w:p w14:paraId="54504E75" w14:textId="14FECE70" w:rsidR="000839D4" w:rsidRPr="00F125C5" w:rsidRDefault="000839D4" w:rsidP="00535C4F">
      <w:pPr>
        <w:spacing w:after="0" w:line="360" w:lineRule="auto"/>
        <w:ind w:firstLine="708"/>
        <w:jc w:val="both"/>
        <w:rPr>
          <w:rFonts w:ascii="Arial" w:hAnsi="Arial" w:cs="Arial"/>
        </w:rPr>
      </w:pPr>
      <w:r w:rsidRPr="00F125C5">
        <w:rPr>
          <w:rFonts w:ascii="Arial" w:hAnsi="Arial" w:cs="Arial"/>
        </w:rPr>
        <w:t xml:space="preserve">Por fim, quanto a revisão das regras de atuação dos </w:t>
      </w:r>
      <w:proofErr w:type="spellStart"/>
      <w:r w:rsidRPr="00F125C5">
        <w:rPr>
          <w:rFonts w:ascii="Arial" w:hAnsi="Arial" w:cs="Arial"/>
        </w:rPr>
        <w:t>TRRs</w:t>
      </w:r>
      <w:proofErr w:type="spellEnd"/>
      <w:r w:rsidRPr="00F125C5">
        <w:rPr>
          <w:rFonts w:ascii="Arial" w:hAnsi="Arial" w:cs="Arial"/>
        </w:rPr>
        <w:t>, o fundamental, como dito, é que, acaso se conclua pela sua importância, que se assegure isonomia concorrencial entre os agentes, que deverão respeitar as mesmas exigências regulatórias para o acesso à atividade.</w:t>
      </w:r>
    </w:p>
    <w:p w14:paraId="1079F4D6" w14:textId="413416CC" w:rsidR="00BD05F3" w:rsidRPr="00F125C5" w:rsidRDefault="00337DAF" w:rsidP="00A92A88">
      <w:pPr>
        <w:spacing w:after="0" w:line="360" w:lineRule="auto"/>
        <w:ind w:firstLine="708"/>
        <w:jc w:val="both"/>
        <w:rPr>
          <w:rFonts w:ascii="Arial" w:hAnsi="Arial" w:cs="Arial"/>
        </w:rPr>
      </w:pPr>
      <w:r w:rsidRPr="00F125C5">
        <w:rPr>
          <w:rFonts w:ascii="Arial" w:hAnsi="Arial" w:cs="Arial"/>
          <w:b/>
        </w:rPr>
        <w:t xml:space="preserve">À luz destas ponderações, </w:t>
      </w:r>
      <w:r w:rsidRPr="00F125C5">
        <w:rPr>
          <w:rFonts w:ascii="Arial" w:hAnsi="Arial" w:cs="Arial"/>
          <w:b/>
          <w:u w:val="single"/>
        </w:rPr>
        <w:t>a</w:t>
      </w:r>
      <w:r w:rsidR="00637C4F" w:rsidRPr="00F125C5">
        <w:rPr>
          <w:rFonts w:ascii="Arial" w:hAnsi="Arial" w:cs="Arial"/>
          <w:b/>
          <w:u w:val="single"/>
        </w:rPr>
        <w:t>creditamos que o</w:t>
      </w:r>
      <w:r w:rsidR="008B7675" w:rsidRPr="00F125C5">
        <w:rPr>
          <w:rFonts w:ascii="Arial" w:hAnsi="Arial" w:cs="Arial"/>
          <w:b/>
          <w:u w:val="single"/>
        </w:rPr>
        <w:t xml:space="preserve"> </w:t>
      </w:r>
      <w:r w:rsidR="00616054" w:rsidRPr="00F125C5">
        <w:rPr>
          <w:rFonts w:ascii="Arial" w:hAnsi="Arial" w:cs="Arial"/>
          <w:b/>
          <w:u w:val="single"/>
        </w:rPr>
        <w:t>aprimoramento d</w:t>
      </w:r>
      <w:r w:rsidR="00637C4F" w:rsidRPr="00F125C5">
        <w:rPr>
          <w:rFonts w:ascii="Arial" w:hAnsi="Arial" w:cs="Arial"/>
          <w:b/>
          <w:u w:val="single"/>
        </w:rPr>
        <w:t>a concorrência do setor de combustíveis no Brasil</w:t>
      </w:r>
      <w:r w:rsidR="00616054" w:rsidRPr="00F125C5">
        <w:rPr>
          <w:rFonts w:ascii="Arial" w:hAnsi="Arial" w:cs="Arial"/>
          <w:b/>
          <w:u w:val="single"/>
        </w:rPr>
        <w:t xml:space="preserve"> </w:t>
      </w:r>
      <w:r w:rsidR="004B40F6" w:rsidRPr="00F125C5">
        <w:rPr>
          <w:rFonts w:ascii="Arial" w:hAnsi="Arial" w:cs="Arial"/>
          <w:b/>
          <w:u w:val="single"/>
        </w:rPr>
        <w:t xml:space="preserve">passa, necessariamente, </w:t>
      </w:r>
      <w:r w:rsidR="00B26F63" w:rsidRPr="00F125C5">
        <w:rPr>
          <w:rFonts w:ascii="Arial" w:hAnsi="Arial" w:cs="Arial"/>
          <w:b/>
          <w:u w:val="single"/>
        </w:rPr>
        <w:t>p</w:t>
      </w:r>
      <w:r w:rsidR="001E611F" w:rsidRPr="00F125C5">
        <w:rPr>
          <w:rFonts w:ascii="Arial" w:hAnsi="Arial" w:cs="Arial"/>
          <w:b/>
          <w:u w:val="single"/>
        </w:rPr>
        <w:t xml:space="preserve">ela discussão de elementos estruturais, tais como </w:t>
      </w:r>
      <w:r w:rsidR="00616054" w:rsidRPr="00F125C5">
        <w:rPr>
          <w:rFonts w:ascii="Arial" w:hAnsi="Arial" w:cs="Arial"/>
          <w:b/>
          <w:u w:val="single"/>
        </w:rPr>
        <w:t>a estrutura tributária do setor</w:t>
      </w:r>
      <w:r w:rsidR="000E69F2" w:rsidRPr="00F125C5">
        <w:rPr>
          <w:rFonts w:ascii="Arial" w:hAnsi="Arial" w:cs="Arial"/>
          <w:b/>
          <w:u w:val="single"/>
        </w:rPr>
        <w:t xml:space="preserve">, </w:t>
      </w:r>
      <w:r w:rsidR="00B26F63" w:rsidRPr="00F125C5">
        <w:rPr>
          <w:rFonts w:ascii="Arial" w:hAnsi="Arial" w:cs="Arial"/>
          <w:b/>
          <w:u w:val="single"/>
        </w:rPr>
        <w:t>o</w:t>
      </w:r>
      <w:r w:rsidR="00535C4F" w:rsidRPr="00F125C5">
        <w:rPr>
          <w:rFonts w:ascii="Arial" w:hAnsi="Arial" w:cs="Arial"/>
          <w:b/>
          <w:u w:val="single"/>
        </w:rPr>
        <w:t xml:space="preserve"> combate </w:t>
      </w:r>
      <w:r w:rsidR="005A0EEC" w:rsidRPr="00F125C5">
        <w:rPr>
          <w:rFonts w:ascii="Arial" w:hAnsi="Arial" w:cs="Arial"/>
          <w:b/>
          <w:u w:val="single"/>
        </w:rPr>
        <w:t xml:space="preserve">contínuo </w:t>
      </w:r>
      <w:r w:rsidR="004B40F6" w:rsidRPr="00F125C5">
        <w:rPr>
          <w:rFonts w:ascii="Arial" w:hAnsi="Arial" w:cs="Arial"/>
          <w:b/>
          <w:u w:val="single"/>
        </w:rPr>
        <w:t>a</w:t>
      </w:r>
      <w:r w:rsidR="00535C4F" w:rsidRPr="00F125C5">
        <w:rPr>
          <w:rFonts w:ascii="Arial" w:hAnsi="Arial" w:cs="Arial"/>
          <w:b/>
          <w:u w:val="single"/>
        </w:rPr>
        <w:t xml:space="preserve"> práticas de evasão fiscal</w:t>
      </w:r>
      <w:r w:rsidR="000E69F2" w:rsidRPr="00F125C5">
        <w:rPr>
          <w:rFonts w:ascii="Arial" w:hAnsi="Arial" w:cs="Arial"/>
          <w:b/>
          <w:u w:val="single"/>
        </w:rPr>
        <w:t xml:space="preserve"> e pela diminuição</w:t>
      </w:r>
      <w:r w:rsidR="002C7AA9" w:rsidRPr="00F125C5">
        <w:rPr>
          <w:rFonts w:ascii="Arial" w:hAnsi="Arial" w:cs="Arial"/>
          <w:b/>
          <w:u w:val="single"/>
        </w:rPr>
        <w:t xml:space="preserve"> </w:t>
      </w:r>
      <w:r w:rsidR="000E69F2" w:rsidRPr="00F125C5">
        <w:rPr>
          <w:rFonts w:ascii="Arial" w:hAnsi="Arial" w:cs="Arial"/>
          <w:b/>
          <w:u w:val="single"/>
        </w:rPr>
        <w:t xml:space="preserve">de barreiras à entrada no elo do refino, </w:t>
      </w:r>
      <w:r w:rsidR="002C7AA9" w:rsidRPr="00F125C5">
        <w:rPr>
          <w:rFonts w:ascii="Arial" w:hAnsi="Arial" w:cs="Arial"/>
          <w:b/>
          <w:u w:val="single"/>
        </w:rPr>
        <w:t>tornando possível a contestação do poder de monopólio nele existente</w:t>
      </w:r>
      <w:r w:rsidR="00535C4F" w:rsidRPr="00F125C5">
        <w:rPr>
          <w:rFonts w:ascii="Arial" w:hAnsi="Arial" w:cs="Arial"/>
          <w:b/>
        </w:rPr>
        <w:t>.</w:t>
      </w:r>
      <w:r w:rsidR="00535C4F" w:rsidRPr="00F125C5">
        <w:rPr>
          <w:rFonts w:ascii="Arial" w:hAnsi="Arial" w:cs="Arial"/>
        </w:rPr>
        <w:t xml:space="preserve"> </w:t>
      </w:r>
      <w:r w:rsidR="000822AE" w:rsidRPr="00F125C5">
        <w:rPr>
          <w:rFonts w:ascii="Arial" w:eastAsia="Noto Sans" w:hAnsi="Arial" w:cs="Arial"/>
          <w:lang w:eastAsia="pt-BR"/>
        </w:rPr>
        <w:t xml:space="preserve"> </w:t>
      </w:r>
      <w:r w:rsidR="000822AE" w:rsidRPr="00F125C5">
        <w:rPr>
          <w:rFonts w:ascii="Arial" w:hAnsi="Arial" w:cs="Arial"/>
        </w:rPr>
        <w:t xml:space="preserve">Esse deveria ser o grande foco da ANP, do </w:t>
      </w:r>
      <w:proofErr w:type="spellStart"/>
      <w:r w:rsidR="000822AE" w:rsidRPr="00F125C5">
        <w:rPr>
          <w:rFonts w:ascii="Arial" w:hAnsi="Arial" w:cs="Arial"/>
        </w:rPr>
        <w:t>Cade</w:t>
      </w:r>
      <w:proofErr w:type="spellEnd"/>
      <w:r w:rsidR="000822AE" w:rsidRPr="00F125C5">
        <w:rPr>
          <w:rFonts w:ascii="Arial" w:hAnsi="Arial" w:cs="Arial"/>
        </w:rPr>
        <w:t xml:space="preserve"> e do Governo na atual</w:t>
      </w:r>
      <w:r w:rsidR="001E611F" w:rsidRPr="00F125C5">
        <w:rPr>
          <w:rFonts w:ascii="Arial" w:hAnsi="Arial" w:cs="Arial"/>
        </w:rPr>
        <w:t xml:space="preserve"> conjuntura</w:t>
      </w:r>
      <w:r w:rsidR="00923F02" w:rsidRPr="00F125C5">
        <w:rPr>
          <w:rFonts w:ascii="Arial" w:hAnsi="Arial" w:cs="Arial"/>
        </w:rPr>
        <w:t xml:space="preserve">, já que </w:t>
      </w:r>
      <w:r w:rsidR="001E611F" w:rsidRPr="00F125C5">
        <w:rPr>
          <w:rFonts w:ascii="Arial" w:hAnsi="Arial" w:cs="Arial"/>
        </w:rPr>
        <w:t xml:space="preserve">são os fatores que mais inibem </w:t>
      </w:r>
      <w:r w:rsidR="00923F02" w:rsidRPr="00F125C5">
        <w:rPr>
          <w:rFonts w:ascii="Arial" w:hAnsi="Arial" w:cs="Arial"/>
        </w:rPr>
        <w:t xml:space="preserve">a criação de novos players nacionais ou a entrada de players </w:t>
      </w:r>
      <w:r w:rsidR="00365DE3" w:rsidRPr="00F125C5">
        <w:rPr>
          <w:rFonts w:ascii="Arial" w:hAnsi="Arial" w:cs="Arial"/>
        </w:rPr>
        <w:t>globais no país</w:t>
      </w:r>
      <w:r w:rsidR="00720264" w:rsidRPr="00F125C5">
        <w:rPr>
          <w:rFonts w:ascii="Arial" w:hAnsi="Arial" w:cs="Arial"/>
        </w:rPr>
        <w:t xml:space="preserve">. Estas medidas são centrais, a nosso ver, </w:t>
      </w:r>
      <w:r w:rsidR="00835311" w:rsidRPr="00F125C5">
        <w:rPr>
          <w:rFonts w:ascii="Arial" w:hAnsi="Arial" w:cs="Arial"/>
        </w:rPr>
        <w:t xml:space="preserve">para a ampliação </w:t>
      </w:r>
      <w:r w:rsidR="00D61494" w:rsidRPr="00F125C5">
        <w:rPr>
          <w:rFonts w:ascii="Arial" w:hAnsi="Arial" w:cs="Arial"/>
        </w:rPr>
        <w:t>da competição e da qualidade dos combustíveis ao consumidor final</w:t>
      </w:r>
      <w:r w:rsidR="00C137B6" w:rsidRPr="00F125C5">
        <w:rPr>
          <w:rFonts w:ascii="Arial" w:hAnsi="Arial" w:cs="Arial"/>
        </w:rPr>
        <w:t xml:space="preserve"> de maneira sustentável e a longo prazo. </w:t>
      </w:r>
      <w:r w:rsidR="00693FF1" w:rsidRPr="00F125C5">
        <w:rPr>
          <w:rFonts w:ascii="Arial" w:hAnsi="Arial" w:cs="Arial"/>
        </w:rPr>
        <w:t xml:space="preserve">Ou seja, somos completamente favoráveis </w:t>
      </w:r>
      <w:r w:rsidR="00693FF1" w:rsidRPr="00F125C5">
        <w:rPr>
          <w:rFonts w:ascii="Arial" w:hAnsi="Arial" w:cs="Arial"/>
        </w:rPr>
        <w:lastRenderedPageBreak/>
        <w:t>à evolução do marco regulatório do setor para ampliar a competição e qualidade dos combustíveis ao consumidor, mas isso não é o que será alcançado com a proposta discutida nesta TPC.</w:t>
      </w:r>
    </w:p>
    <w:p w14:paraId="5A65441D" w14:textId="77777777" w:rsidR="003E47DB" w:rsidRPr="00F125C5" w:rsidRDefault="00BD05F3" w:rsidP="00986170">
      <w:pPr>
        <w:spacing w:after="0" w:line="360" w:lineRule="auto"/>
        <w:ind w:firstLine="708"/>
        <w:jc w:val="both"/>
        <w:rPr>
          <w:rFonts w:ascii="Arial" w:hAnsi="Arial" w:cs="Arial"/>
        </w:rPr>
      </w:pPr>
      <w:r w:rsidRPr="00F125C5">
        <w:rPr>
          <w:rFonts w:ascii="Arial" w:hAnsi="Arial" w:cs="Arial"/>
        </w:rPr>
        <w:t xml:space="preserve">Ressaltamos, </w:t>
      </w:r>
      <w:r w:rsidR="00720264" w:rsidRPr="00F125C5">
        <w:rPr>
          <w:rFonts w:ascii="Arial" w:hAnsi="Arial" w:cs="Arial"/>
        </w:rPr>
        <w:t xml:space="preserve">na linha do exposto no início desta manifestação, </w:t>
      </w:r>
      <w:r w:rsidR="00C137B6" w:rsidRPr="00F125C5">
        <w:rPr>
          <w:rFonts w:ascii="Arial" w:hAnsi="Arial" w:cs="Arial"/>
        </w:rPr>
        <w:t xml:space="preserve">que </w:t>
      </w:r>
      <w:r w:rsidR="00693FF1" w:rsidRPr="00F125C5">
        <w:rPr>
          <w:rFonts w:ascii="Arial" w:hAnsi="Arial" w:cs="Arial"/>
        </w:rPr>
        <w:t>o</w:t>
      </w:r>
      <w:r w:rsidR="00603172" w:rsidRPr="00F125C5">
        <w:rPr>
          <w:rFonts w:ascii="Arial" w:hAnsi="Arial" w:cs="Arial"/>
        </w:rPr>
        <w:t xml:space="preserve"> debate </w:t>
      </w:r>
      <w:r w:rsidR="00693FF1" w:rsidRPr="00F125C5">
        <w:rPr>
          <w:rFonts w:ascii="Arial" w:hAnsi="Arial" w:cs="Arial"/>
        </w:rPr>
        <w:t xml:space="preserve">realmente significativo sobre reestruturação tributária, combate à evasão fiscal e diminuição das barreiras à entrada no elo do refino </w:t>
      </w:r>
      <w:r w:rsidR="00323940" w:rsidRPr="00F125C5">
        <w:rPr>
          <w:rFonts w:ascii="Arial" w:hAnsi="Arial" w:cs="Arial"/>
        </w:rPr>
        <w:t>se encontra</w:t>
      </w:r>
      <w:r w:rsidR="00603172" w:rsidRPr="00F125C5">
        <w:rPr>
          <w:rFonts w:ascii="Arial" w:hAnsi="Arial" w:cs="Arial"/>
        </w:rPr>
        <w:t xml:space="preserve"> em elevado </w:t>
      </w:r>
      <w:r w:rsidR="009064B9" w:rsidRPr="00F125C5">
        <w:rPr>
          <w:rFonts w:ascii="Arial" w:hAnsi="Arial" w:cs="Arial"/>
        </w:rPr>
        <w:t xml:space="preserve">grau </w:t>
      </w:r>
      <w:r w:rsidR="00603172" w:rsidRPr="00F125C5">
        <w:rPr>
          <w:rFonts w:ascii="Arial" w:hAnsi="Arial" w:cs="Arial"/>
        </w:rPr>
        <w:t xml:space="preserve">de maturação </w:t>
      </w:r>
      <w:r w:rsidR="009064B9" w:rsidRPr="00F125C5">
        <w:rPr>
          <w:rFonts w:ascii="Arial" w:hAnsi="Arial" w:cs="Arial"/>
        </w:rPr>
        <w:t xml:space="preserve">no âmbito da iniciativa </w:t>
      </w:r>
      <w:r w:rsidR="00C137B6" w:rsidRPr="00F125C5">
        <w:rPr>
          <w:rFonts w:ascii="Arial" w:hAnsi="Arial" w:cs="Arial"/>
        </w:rPr>
        <w:t xml:space="preserve">“Combustível Brasil”, </w:t>
      </w:r>
      <w:r w:rsidR="009064B9" w:rsidRPr="00F125C5">
        <w:rPr>
          <w:rFonts w:ascii="Arial" w:hAnsi="Arial" w:cs="Arial"/>
        </w:rPr>
        <w:t>d</w:t>
      </w:r>
      <w:r w:rsidR="008946FC" w:rsidRPr="00F125C5">
        <w:rPr>
          <w:rFonts w:ascii="Arial" w:hAnsi="Arial" w:cs="Arial"/>
        </w:rPr>
        <w:t>a</w:t>
      </w:r>
      <w:r w:rsidR="009064B9" w:rsidRPr="00F125C5">
        <w:rPr>
          <w:rFonts w:ascii="Arial" w:hAnsi="Arial" w:cs="Arial"/>
        </w:rPr>
        <w:t xml:space="preserve"> qual a ANP</w:t>
      </w:r>
      <w:r w:rsidR="008946FC" w:rsidRPr="00F125C5">
        <w:rPr>
          <w:rFonts w:ascii="Arial" w:hAnsi="Arial" w:cs="Arial"/>
        </w:rPr>
        <w:t xml:space="preserve">, juntamente com </w:t>
      </w:r>
      <w:r w:rsidR="00AF0B8B" w:rsidRPr="00F125C5">
        <w:rPr>
          <w:rFonts w:ascii="Arial" w:hAnsi="Arial" w:cs="Arial"/>
        </w:rPr>
        <w:t xml:space="preserve">os agentes privados e </w:t>
      </w:r>
      <w:r w:rsidR="008946FC" w:rsidRPr="00F125C5">
        <w:rPr>
          <w:rFonts w:ascii="Arial" w:hAnsi="Arial" w:cs="Arial"/>
        </w:rPr>
        <w:t>outras autoridades competentes e com expertise na</w:t>
      </w:r>
      <w:r w:rsidR="00AF0B8B" w:rsidRPr="00F125C5">
        <w:rPr>
          <w:rFonts w:ascii="Arial" w:hAnsi="Arial" w:cs="Arial"/>
        </w:rPr>
        <w:t>s propostas de reforma do setor de combustíveis, ativamente</w:t>
      </w:r>
      <w:r w:rsidR="00553975" w:rsidRPr="00F125C5">
        <w:rPr>
          <w:rFonts w:ascii="Arial" w:hAnsi="Arial" w:cs="Arial"/>
        </w:rPr>
        <w:t xml:space="preserve"> participaram. </w:t>
      </w:r>
    </w:p>
    <w:p w14:paraId="2F4E93BD" w14:textId="79F2EAA4" w:rsidR="009C5ECA" w:rsidRPr="00F125C5" w:rsidRDefault="00F236EC" w:rsidP="00986170">
      <w:pPr>
        <w:spacing w:after="0" w:line="360" w:lineRule="auto"/>
        <w:ind w:firstLine="708"/>
        <w:jc w:val="both"/>
        <w:rPr>
          <w:rFonts w:ascii="Arial" w:hAnsi="Arial" w:cs="Arial"/>
        </w:rPr>
      </w:pPr>
      <w:r w:rsidRPr="00F125C5">
        <w:rPr>
          <w:rFonts w:ascii="Arial" w:hAnsi="Arial" w:cs="Arial"/>
        </w:rPr>
        <w:t xml:space="preserve">Temas como a eventual adoção da </w:t>
      </w:r>
      <w:proofErr w:type="spellStart"/>
      <w:r w:rsidRPr="00F125C5">
        <w:rPr>
          <w:rFonts w:ascii="Arial" w:hAnsi="Arial" w:cs="Arial"/>
        </w:rPr>
        <w:t>monofasia</w:t>
      </w:r>
      <w:proofErr w:type="spellEnd"/>
      <w:r w:rsidRPr="00F125C5">
        <w:rPr>
          <w:rFonts w:ascii="Arial" w:hAnsi="Arial" w:cs="Arial"/>
        </w:rPr>
        <w:t xml:space="preserve">, a unificação das alíquotas de ICMS, a análise dos efeitos </w:t>
      </w:r>
      <w:proofErr w:type="spellStart"/>
      <w:r w:rsidRPr="00F125C5">
        <w:rPr>
          <w:rFonts w:ascii="Arial" w:hAnsi="Arial" w:cs="Arial"/>
        </w:rPr>
        <w:t>anticoncorrenciais</w:t>
      </w:r>
      <w:proofErr w:type="spellEnd"/>
      <w:r w:rsidRPr="00F125C5">
        <w:rPr>
          <w:rFonts w:ascii="Arial" w:hAnsi="Arial" w:cs="Arial"/>
        </w:rPr>
        <w:t xml:space="preserve"> de práticas tributárias </w:t>
      </w:r>
      <w:r w:rsidR="00994E64" w:rsidRPr="00F125C5">
        <w:rPr>
          <w:rFonts w:ascii="Arial" w:hAnsi="Arial" w:cs="Arial"/>
        </w:rPr>
        <w:t xml:space="preserve">pelo </w:t>
      </w:r>
      <w:proofErr w:type="spellStart"/>
      <w:r w:rsidR="00994E64" w:rsidRPr="00F125C5">
        <w:rPr>
          <w:rFonts w:ascii="Arial" w:hAnsi="Arial" w:cs="Arial"/>
        </w:rPr>
        <w:t>Cade</w:t>
      </w:r>
      <w:proofErr w:type="spellEnd"/>
      <w:r w:rsidR="00994E64" w:rsidRPr="00F125C5">
        <w:rPr>
          <w:rFonts w:ascii="Arial" w:hAnsi="Arial" w:cs="Arial"/>
        </w:rPr>
        <w:t xml:space="preserve"> e pelo Judiciário e a cassação das inscrições estaduais dos devedores contumazes são medidas </w:t>
      </w:r>
      <w:r w:rsidR="009D6AD7" w:rsidRPr="00F125C5">
        <w:rPr>
          <w:rFonts w:ascii="Arial" w:hAnsi="Arial" w:cs="Arial"/>
        </w:rPr>
        <w:t xml:space="preserve">que poderiam receber especial atenção </w:t>
      </w:r>
      <w:r w:rsidR="007C1F29" w:rsidRPr="00F125C5">
        <w:rPr>
          <w:rFonts w:ascii="Arial" w:hAnsi="Arial" w:cs="Arial"/>
        </w:rPr>
        <w:t>da ANP</w:t>
      </w:r>
      <w:r w:rsidR="009D6AD7" w:rsidRPr="00F125C5">
        <w:rPr>
          <w:rFonts w:ascii="Arial" w:hAnsi="Arial" w:cs="Arial"/>
        </w:rPr>
        <w:t xml:space="preserve"> com o objetivo de aumentar a produtividade e concorrência do setor de combustíveis no Brasil. </w:t>
      </w:r>
    </w:p>
    <w:p w14:paraId="50A1F300" w14:textId="2280B73C" w:rsidR="00986170" w:rsidRPr="00F125C5" w:rsidRDefault="00A960FA">
      <w:pPr>
        <w:spacing w:after="0" w:line="360" w:lineRule="auto"/>
        <w:ind w:firstLine="708"/>
        <w:jc w:val="both"/>
        <w:rPr>
          <w:rFonts w:ascii="Arial" w:hAnsi="Arial" w:cs="Arial"/>
        </w:rPr>
      </w:pPr>
      <w:r w:rsidRPr="00F125C5">
        <w:rPr>
          <w:rFonts w:ascii="Arial" w:hAnsi="Arial" w:cs="Arial"/>
        </w:rPr>
        <w:t xml:space="preserve">No que toca à criação de condições para a contestação do poder de monopólio </w:t>
      </w:r>
      <w:r w:rsidR="005A586E" w:rsidRPr="00F125C5">
        <w:rPr>
          <w:rFonts w:ascii="Arial" w:hAnsi="Arial" w:cs="Arial"/>
        </w:rPr>
        <w:t xml:space="preserve">no refino, </w:t>
      </w:r>
      <w:r w:rsidR="00085BA0" w:rsidRPr="00F125C5">
        <w:rPr>
          <w:rFonts w:ascii="Arial" w:hAnsi="Arial" w:cs="Arial"/>
        </w:rPr>
        <w:t xml:space="preserve">cumpre pontuar que, </w:t>
      </w:r>
      <w:r w:rsidR="00404DBD" w:rsidRPr="00F125C5">
        <w:rPr>
          <w:rFonts w:ascii="Arial" w:hAnsi="Arial" w:cs="Arial"/>
        </w:rPr>
        <w:t>a concentração verificada neste elo</w:t>
      </w:r>
      <w:r w:rsidR="009B05D0" w:rsidRPr="00F125C5">
        <w:rPr>
          <w:rFonts w:ascii="Arial" w:hAnsi="Arial" w:cs="Arial"/>
        </w:rPr>
        <w:t xml:space="preserve">, para além de comprometer a dinâmica competitiva do mercado, também envolve diversos riscos, que englobam desde controles de preço à adoção de práticas </w:t>
      </w:r>
      <w:proofErr w:type="spellStart"/>
      <w:r w:rsidR="009B05D0" w:rsidRPr="00F125C5">
        <w:rPr>
          <w:rFonts w:ascii="Arial" w:hAnsi="Arial" w:cs="Arial"/>
        </w:rPr>
        <w:t>anticoncorrenciais</w:t>
      </w:r>
      <w:proofErr w:type="spellEnd"/>
      <w:r w:rsidR="009B05D0" w:rsidRPr="00F125C5">
        <w:rPr>
          <w:rFonts w:ascii="Arial" w:hAnsi="Arial" w:cs="Arial"/>
        </w:rPr>
        <w:t>, conforme a liberdade ou restrição da atuação da Petrobras enquanto empresa que busca maximizar o seu valor. No mais, diante de estimativas elevadas de aumento da demanda por combustíveis e derivados, aliadas a uma capacidade de refino que se mantém praticamente constante e com baixo crescimento projetado, torna-se patente a necessidade do aumento da produção e de</w:t>
      </w:r>
      <w:r w:rsidR="009B05D0" w:rsidRPr="00F125C5" w:rsidDel="001072A7">
        <w:rPr>
          <w:rFonts w:ascii="Arial" w:hAnsi="Arial" w:cs="Arial"/>
        </w:rPr>
        <w:t xml:space="preserve"> </w:t>
      </w:r>
      <w:r w:rsidR="009B05D0" w:rsidRPr="00F125C5">
        <w:rPr>
          <w:rFonts w:ascii="Arial" w:hAnsi="Arial" w:cs="Arial"/>
        </w:rPr>
        <w:t>investimentos para a garantia do abastecimento no Brasil.</w:t>
      </w:r>
    </w:p>
    <w:p w14:paraId="518855E0" w14:textId="45F16DD6" w:rsidR="007A0585" w:rsidRPr="00F125C5" w:rsidRDefault="003136B0" w:rsidP="007A0585">
      <w:pPr>
        <w:spacing w:after="0" w:line="360" w:lineRule="auto"/>
        <w:ind w:firstLine="708"/>
        <w:jc w:val="both"/>
        <w:rPr>
          <w:rFonts w:ascii="Arial" w:hAnsi="Arial" w:cs="Arial"/>
        </w:rPr>
      </w:pPr>
      <w:r w:rsidRPr="00F125C5">
        <w:rPr>
          <w:rFonts w:ascii="Arial" w:hAnsi="Arial" w:cs="Arial"/>
        </w:rPr>
        <w:t xml:space="preserve">Acreditamos que a criação de condições para a contestação do poder de monopólio no refino passa por eixos como a regulação de acesso à infraestrutura e ao </w:t>
      </w:r>
      <w:proofErr w:type="spellStart"/>
      <w:r w:rsidRPr="00F125C5">
        <w:rPr>
          <w:rFonts w:ascii="Arial" w:hAnsi="Arial" w:cs="Arial"/>
          <w:i/>
        </w:rPr>
        <w:t>unbundling</w:t>
      </w:r>
      <w:proofErr w:type="spellEnd"/>
      <w:r w:rsidRPr="00F125C5">
        <w:rPr>
          <w:rFonts w:ascii="Arial" w:hAnsi="Arial" w:cs="Arial"/>
        </w:rPr>
        <w:t>, ou seja, à separação dos diversos segmentos da cadeia produtiva da indústria do petróleo (transporte, refino e armazenamento). Para além destes eixos, o processo de contestação pode ser acelerado através de parcerias e desinvestimentos da estatal, o que ajudará a reduzir a dependência crescente nas importações.</w:t>
      </w:r>
      <w:r w:rsidR="009F1B03" w:rsidRPr="00F125C5">
        <w:rPr>
          <w:rFonts w:ascii="Arial" w:hAnsi="Arial" w:cs="Arial"/>
        </w:rPr>
        <w:t xml:space="preserve"> </w:t>
      </w:r>
      <w:r w:rsidR="007A0585" w:rsidRPr="00F125C5">
        <w:rPr>
          <w:rFonts w:ascii="Arial" w:hAnsi="Arial" w:cs="Arial"/>
        </w:rPr>
        <w:t xml:space="preserve">Deste modo, a proposta em análise na presente TPC apresenta repercussões indissociáveis em outros segmentos que extrapolam o âmbito de atuação da Agência e que devem ser ponderadas com base em estudos técnicos profundos. Uma devida análise do impacto regulatório de uma medida concreta que represente o eventual fim da proibição de verticalização no setor </w:t>
      </w:r>
      <w:r w:rsidR="009F1B03" w:rsidRPr="00F125C5">
        <w:rPr>
          <w:rFonts w:ascii="Arial" w:hAnsi="Arial" w:cs="Arial"/>
        </w:rPr>
        <w:t xml:space="preserve">ou da permissão de venda direta </w:t>
      </w:r>
      <w:r w:rsidR="007A0585" w:rsidRPr="00F125C5">
        <w:rPr>
          <w:rFonts w:ascii="Arial" w:hAnsi="Arial" w:cs="Arial"/>
        </w:rPr>
        <w:t>deve levar em consideração todos esses elementos, ponderando seus custos e seus benefícios.</w:t>
      </w:r>
    </w:p>
    <w:p w14:paraId="2AFB1749" w14:textId="77209B2C" w:rsidR="00AB7E08" w:rsidRPr="00F125C5" w:rsidRDefault="00AB7E08">
      <w:pPr>
        <w:spacing w:after="0" w:line="360" w:lineRule="auto"/>
        <w:ind w:firstLine="708"/>
        <w:jc w:val="both"/>
        <w:rPr>
          <w:rFonts w:ascii="Arial" w:hAnsi="Arial" w:cs="Arial"/>
        </w:rPr>
      </w:pPr>
      <w:r w:rsidRPr="00F125C5">
        <w:rPr>
          <w:rFonts w:ascii="Arial" w:hAnsi="Arial" w:cs="Arial"/>
        </w:rPr>
        <w:lastRenderedPageBreak/>
        <w:t>Portanto, entendemos que a permissão da verticalização</w:t>
      </w:r>
      <w:r w:rsidR="009F1B03" w:rsidRPr="00F125C5">
        <w:rPr>
          <w:rFonts w:ascii="Arial" w:hAnsi="Arial" w:cs="Arial"/>
        </w:rPr>
        <w:t xml:space="preserve"> ou da venda direta</w:t>
      </w:r>
      <w:r w:rsidRPr="00F125C5">
        <w:rPr>
          <w:rFonts w:ascii="Arial" w:hAnsi="Arial" w:cs="Arial"/>
        </w:rPr>
        <w:t xml:space="preserve"> não pode ser discutida de maneira isolada e sua implantação demanda um conjunto significativo de dados para demonstrar que tal estrutura de mercado gera resultados superiores em termos de bem</w:t>
      </w:r>
      <w:r w:rsidR="00D20746" w:rsidRPr="00F125C5">
        <w:rPr>
          <w:rFonts w:ascii="Arial" w:hAnsi="Arial" w:cs="Arial"/>
        </w:rPr>
        <w:t>-</w:t>
      </w:r>
      <w:r w:rsidRPr="00F125C5">
        <w:rPr>
          <w:rFonts w:ascii="Arial" w:hAnsi="Arial" w:cs="Arial"/>
        </w:rPr>
        <w:t xml:space="preserve">estar e concorrência em relação aos resultados do modelo vigente.  </w:t>
      </w:r>
    </w:p>
    <w:p w14:paraId="785AF800" w14:textId="54E9077E" w:rsidR="007C1F29" w:rsidRPr="00F125C5" w:rsidRDefault="007C1F29" w:rsidP="006D04D2">
      <w:pPr>
        <w:spacing w:after="0" w:line="360" w:lineRule="auto"/>
        <w:rPr>
          <w:rFonts w:ascii="Arial" w:hAnsi="Arial" w:cs="Arial"/>
        </w:rPr>
      </w:pPr>
    </w:p>
    <w:p w14:paraId="0AD15168" w14:textId="77777777" w:rsidR="007C1F29" w:rsidRPr="00F125C5" w:rsidRDefault="007C1F29" w:rsidP="006D04D2">
      <w:pPr>
        <w:spacing w:after="0" w:line="360" w:lineRule="auto"/>
        <w:rPr>
          <w:rFonts w:ascii="Arial" w:hAnsi="Arial" w:cs="Arial"/>
        </w:rPr>
      </w:pPr>
    </w:p>
    <w:p w14:paraId="7AB5CDD9" w14:textId="77777777" w:rsidR="00FF317A" w:rsidRPr="00F125C5" w:rsidRDefault="00FF317A">
      <w:pPr>
        <w:spacing w:after="160" w:line="259" w:lineRule="auto"/>
        <w:rPr>
          <w:rFonts w:ascii="Arial" w:hAnsi="Arial" w:cs="Arial"/>
          <w:b/>
        </w:rPr>
      </w:pPr>
      <w:r w:rsidRPr="00F125C5">
        <w:rPr>
          <w:rFonts w:ascii="Arial" w:hAnsi="Arial" w:cs="Arial"/>
          <w:b/>
        </w:rPr>
        <w:br w:type="page"/>
      </w:r>
    </w:p>
    <w:p w14:paraId="4FE19097" w14:textId="38737FD1" w:rsidR="006B53A7" w:rsidRPr="00F125C5" w:rsidRDefault="00722956" w:rsidP="006D04D2">
      <w:pPr>
        <w:spacing w:after="0" w:line="360" w:lineRule="auto"/>
        <w:rPr>
          <w:rFonts w:ascii="Arial" w:hAnsi="Arial" w:cs="Arial"/>
          <w:b/>
        </w:rPr>
      </w:pPr>
      <w:r w:rsidRPr="00F125C5">
        <w:rPr>
          <w:rFonts w:ascii="Arial" w:hAnsi="Arial" w:cs="Arial"/>
          <w:b/>
        </w:rPr>
        <w:lastRenderedPageBreak/>
        <w:t xml:space="preserve">REFERÊNCIAS </w:t>
      </w:r>
    </w:p>
    <w:p w14:paraId="6C5CE2A5" w14:textId="77777777" w:rsidR="006B53A7" w:rsidRPr="00F125C5" w:rsidRDefault="006B53A7" w:rsidP="006D04D2">
      <w:pPr>
        <w:spacing w:after="0" w:line="360" w:lineRule="auto"/>
        <w:rPr>
          <w:rFonts w:ascii="Arial" w:hAnsi="Arial" w:cs="Arial"/>
        </w:rPr>
      </w:pPr>
    </w:p>
    <w:p w14:paraId="67CED023" w14:textId="77777777" w:rsidR="001508C0" w:rsidRPr="00F125C5" w:rsidRDefault="001508C0" w:rsidP="005573AA">
      <w:pPr>
        <w:spacing w:after="0"/>
        <w:jc w:val="both"/>
        <w:rPr>
          <w:rFonts w:ascii="Arial" w:hAnsi="Arial" w:cs="Arial"/>
        </w:rPr>
      </w:pPr>
      <w:r w:rsidRPr="00F125C5">
        <w:rPr>
          <w:rFonts w:ascii="Arial" w:hAnsi="Arial" w:cs="Arial"/>
        </w:rPr>
        <w:t xml:space="preserve">AZEVEDO, P. F. (1996). Integração Vertical e Barganha. Tese de Doutorado, Universidade de São Paulo, Faculdade de Economia, Administração e Contabilidade, São Paulo. </w:t>
      </w:r>
    </w:p>
    <w:p w14:paraId="0413C149" w14:textId="77777777" w:rsidR="001508C0" w:rsidRPr="00F125C5" w:rsidRDefault="001508C0" w:rsidP="005573AA">
      <w:pPr>
        <w:spacing w:after="0"/>
        <w:jc w:val="both"/>
        <w:rPr>
          <w:rFonts w:ascii="Arial" w:hAnsi="Arial" w:cs="Arial"/>
        </w:rPr>
      </w:pPr>
    </w:p>
    <w:p w14:paraId="04EAB696" w14:textId="77777777" w:rsidR="001508C0" w:rsidRPr="00F125C5" w:rsidRDefault="001508C0" w:rsidP="005573AA">
      <w:pPr>
        <w:spacing w:after="0"/>
        <w:jc w:val="both"/>
        <w:rPr>
          <w:rFonts w:ascii="Arial" w:hAnsi="Arial" w:cs="Arial"/>
        </w:rPr>
      </w:pPr>
      <w:r w:rsidRPr="00F125C5">
        <w:rPr>
          <w:rFonts w:ascii="Arial" w:hAnsi="Arial" w:cs="Arial"/>
        </w:rPr>
        <w:t xml:space="preserve">______________ (2010). Restrições Verticais e Defesa da Concorrência: a experiência brasileira. São Paulo: Escola de Economia de São Paulo - Fundação Getúlio Vargas, Texto para Discussão nº 264, Julho de 2010. Disponível em: </w:t>
      </w:r>
      <w:hyperlink r:id="rId15" w:history="1">
        <w:r w:rsidRPr="00F125C5">
          <w:rPr>
            <w:rStyle w:val="Hyperlink"/>
            <w:rFonts w:ascii="Arial" w:hAnsi="Arial" w:cs="Arial"/>
          </w:rPr>
          <w:t>https://bibliotecadigital.fgv.br/dspace/handle/10438/6895</w:t>
        </w:r>
      </w:hyperlink>
      <w:r w:rsidRPr="00F125C5">
        <w:rPr>
          <w:rFonts w:ascii="Arial" w:hAnsi="Arial" w:cs="Arial"/>
        </w:rPr>
        <w:t>. Acesso em 1 de novembro de 2018.</w:t>
      </w:r>
    </w:p>
    <w:p w14:paraId="3B6B3A49" w14:textId="77777777" w:rsidR="001508C0" w:rsidRPr="00F125C5" w:rsidRDefault="001508C0" w:rsidP="005573AA">
      <w:pPr>
        <w:spacing w:after="0"/>
        <w:jc w:val="both"/>
        <w:rPr>
          <w:rFonts w:ascii="Arial" w:hAnsi="Arial" w:cs="Arial"/>
        </w:rPr>
      </w:pPr>
    </w:p>
    <w:p w14:paraId="0115AEA1" w14:textId="2EA8DAD0" w:rsidR="00CF0ED7" w:rsidRPr="00F125C5" w:rsidRDefault="00CF0ED7" w:rsidP="005573AA">
      <w:pPr>
        <w:spacing w:after="0"/>
        <w:jc w:val="both"/>
        <w:rPr>
          <w:rFonts w:ascii="Arial" w:hAnsi="Arial" w:cs="Arial"/>
          <w:lang w:val="en-US"/>
        </w:rPr>
      </w:pPr>
      <w:r w:rsidRPr="00F125C5">
        <w:rPr>
          <w:rFonts w:ascii="Arial" w:hAnsi="Arial" w:cs="Arial"/>
          <w:lang w:val="en-US"/>
        </w:rPr>
        <w:t xml:space="preserve">BARRON, John M.; UMBECK, John R. (1984). The Effects of Different Contractual Arrangements: The Case of Retail Gasoline Markets. Journal of Law and Economics, 27(2): 313-28. </w:t>
      </w:r>
    </w:p>
    <w:p w14:paraId="5F9E601B" w14:textId="77777777" w:rsidR="0014517F" w:rsidRPr="00F125C5" w:rsidRDefault="0014517F" w:rsidP="005573AA">
      <w:pPr>
        <w:spacing w:after="0"/>
        <w:jc w:val="both"/>
        <w:rPr>
          <w:rFonts w:ascii="Arial" w:hAnsi="Arial" w:cs="Arial"/>
          <w:lang w:val="en-US"/>
        </w:rPr>
      </w:pPr>
    </w:p>
    <w:p w14:paraId="7B4A47F1" w14:textId="68E410A3" w:rsidR="00CD7953" w:rsidRPr="00F125C5" w:rsidRDefault="00CD7953" w:rsidP="005573AA">
      <w:pPr>
        <w:spacing w:after="0"/>
        <w:jc w:val="both"/>
        <w:rPr>
          <w:rFonts w:ascii="Arial" w:hAnsi="Arial" w:cs="Arial"/>
        </w:rPr>
      </w:pPr>
      <w:r w:rsidRPr="00F125C5">
        <w:rPr>
          <w:rFonts w:ascii="Arial" w:hAnsi="Arial" w:cs="Arial"/>
          <w:lang w:val="en-US"/>
        </w:rPr>
        <w:t xml:space="preserve">BLASS, Asher A., CARLTON, Dennis W. (2001). The Choice of Organizational Form in Gasoline Retailing and the Cost of Laws That Limit That Choice. </w:t>
      </w:r>
      <w:proofErr w:type="spellStart"/>
      <w:r w:rsidRPr="00F125C5">
        <w:rPr>
          <w:rFonts w:ascii="Arial" w:hAnsi="Arial" w:cs="Arial"/>
        </w:rPr>
        <w:t>Journal</w:t>
      </w:r>
      <w:proofErr w:type="spellEnd"/>
      <w:r w:rsidRPr="00F125C5">
        <w:rPr>
          <w:rFonts w:ascii="Arial" w:hAnsi="Arial" w:cs="Arial"/>
        </w:rPr>
        <w:t xml:space="preserve"> </w:t>
      </w:r>
      <w:proofErr w:type="spellStart"/>
      <w:r w:rsidRPr="00F125C5">
        <w:rPr>
          <w:rFonts w:ascii="Arial" w:hAnsi="Arial" w:cs="Arial"/>
        </w:rPr>
        <w:t>of</w:t>
      </w:r>
      <w:proofErr w:type="spellEnd"/>
      <w:r w:rsidRPr="00F125C5">
        <w:rPr>
          <w:rFonts w:ascii="Arial" w:hAnsi="Arial" w:cs="Arial"/>
        </w:rPr>
        <w:t xml:space="preserve"> Law </w:t>
      </w:r>
      <w:proofErr w:type="spellStart"/>
      <w:r w:rsidRPr="00F125C5">
        <w:rPr>
          <w:rFonts w:ascii="Arial" w:hAnsi="Arial" w:cs="Arial"/>
        </w:rPr>
        <w:t>and</w:t>
      </w:r>
      <w:proofErr w:type="spellEnd"/>
      <w:r w:rsidRPr="00F125C5">
        <w:rPr>
          <w:rFonts w:ascii="Arial" w:hAnsi="Arial" w:cs="Arial"/>
        </w:rPr>
        <w:t xml:space="preserve"> </w:t>
      </w:r>
      <w:proofErr w:type="spellStart"/>
      <w:r w:rsidRPr="00F125C5">
        <w:rPr>
          <w:rFonts w:ascii="Arial" w:hAnsi="Arial" w:cs="Arial"/>
        </w:rPr>
        <w:t>Economics</w:t>
      </w:r>
      <w:proofErr w:type="spellEnd"/>
      <w:r w:rsidRPr="00F125C5">
        <w:rPr>
          <w:rFonts w:ascii="Arial" w:hAnsi="Arial" w:cs="Arial"/>
        </w:rPr>
        <w:t xml:space="preserve">, 44(2): 511-24. </w:t>
      </w:r>
    </w:p>
    <w:p w14:paraId="0E64D7BB" w14:textId="77777777" w:rsidR="00CD7953" w:rsidRPr="00F125C5" w:rsidRDefault="00CD7953" w:rsidP="00A3719D">
      <w:pPr>
        <w:spacing w:after="0"/>
        <w:jc w:val="both"/>
        <w:rPr>
          <w:rFonts w:ascii="Arial" w:hAnsi="Arial" w:cs="Arial"/>
        </w:rPr>
      </w:pPr>
    </w:p>
    <w:p w14:paraId="27E20532" w14:textId="60C8A810" w:rsidR="003B487B" w:rsidRPr="00F125C5" w:rsidRDefault="003B487B" w:rsidP="003B487B">
      <w:pPr>
        <w:spacing w:after="0"/>
        <w:jc w:val="both"/>
        <w:rPr>
          <w:rFonts w:ascii="Arial" w:hAnsi="Arial" w:cs="Arial"/>
        </w:rPr>
      </w:pPr>
      <w:r w:rsidRPr="00F125C5">
        <w:rPr>
          <w:rFonts w:ascii="Arial" w:hAnsi="Arial" w:cs="Arial"/>
        </w:rPr>
        <w:t xml:space="preserve">CADE (2017). O ambiente concorrencial no setor do refino de petróleo e distribuição de combustíveis líquidos. Disponível em: </w:t>
      </w:r>
      <w:hyperlink r:id="rId16" w:history="1">
        <w:r w:rsidRPr="00F125C5">
          <w:rPr>
            <w:rStyle w:val="Hyperlink"/>
            <w:rFonts w:ascii="Arial" w:hAnsi="Arial" w:cs="Arial"/>
          </w:rPr>
          <w:t>http://www.cade.gov.br/acesso-a-informacao/publicacoes-institucionais/contribuicoes-do-cade/o-ambiente-concorrencial-no-setor-de-refino.pdf/view</w:t>
        </w:r>
      </w:hyperlink>
      <w:r w:rsidRPr="00F125C5">
        <w:rPr>
          <w:rFonts w:ascii="Arial" w:hAnsi="Arial" w:cs="Arial"/>
        </w:rPr>
        <w:t xml:space="preserve">. </w:t>
      </w:r>
    </w:p>
    <w:p w14:paraId="7272C34C" w14:textId="77777777" w:rsidR="003B487B" w:rsidRPr="00F125C5" w:rsidRDefault="003B487B">
      <w:pPr>
        <w:spacing w:after="0"/>
        <w:jc w:val="both"/>
        <w:rPr>
          <w:rFonts w:ascii="Arial" w:hAnsi="Arial" w:cs="Arial"/>
        </w:rPr>
      </w:pPr>
    </w:p>
    <w:p w14:paraId="00E6FE4A" w14:textId="4BC5A218" w:rsidR="004A67F1" w:rsidRPr="00F125C5" w:rsidRDefault="003B487B" w:rsidP="005573AA">
      <w:pPr>
        <w:spacing w:after="0"/>
        <w:jc w:val="both"/>
        <w:rPr>
          <w:rFonts w:ascii="Arial" w:hAnsi="Arial" w:cs="Arial"/>
        </w:rPr>
      </w:pPr>
      <w:r w:rsidRPr="00F125C5">
        <w:rPr>
          <w:rFonts w:ascii="Arial" w:hAnsi="Arial" w:cs="Arial"/>
        </w:rPr>
        <w:t>_____ (2018)</w:t>
      </w:r>
      <w:r w:rsidR="004A67F1" w:rsidRPr="00F125C5">
        <w:rPr>
          <w:rFonts w:ascii="Arial" w:hAnsi="Arial" w:cs="Arial"/>
        </w:rPr>
        <w:t xml:space="preserve">. Repensando o setor de combustíveis: medidas pró-concorrência, maio de 2018, disponível em: </w:t>
      </w:r>
      <w:hyperlink r:id="rId17" w:history="1">
        <w:r w:rsidR="004A67F1" w:rsidRPr="00F125C5">
          <w:rPr>
            <w:rStyle w:val="Hyperlink"/>
            <w:rFonts w:ascii="Arial" w:hAnsi="Arial" w:cs="Arial"/>
          </w:rPr>
          <w:t>http://www.cade.gov.br/acesso-a-informacao/publicacoes-institucionais/contribuicoes-do-cade/contribuicoes-do-cade_medidas-28maio2018-final.pdf</w:t>
        </w:r>
      </w:hyperlink>
      <w:r w:rsidR="004A67F1" w:rsidRPr="00F125C5">
        <w:rPr>
          <w:rFonts w:ascii="Arial" w:hAnsi="Arial" w:cs="Arial"/>
        </w:rPr>
        <w:t xml:space="preserve">. </w:t>
      </w:r>
    </w:p>
    <w:p w14:paraId="7B892463" w14:textId="77777777" w:rsidR="004A67F1" w:rsidRPr="00F125C5" w:rsidRDefault="004A67F1" w:rsidP="005573AA">
      <w:pPr>
        <w:spacing w:after="0"/>
        <w:jc w:val="both"/>
        <w:rPr>
          <w:rFonts w:ascii="Arial" w:hAnsi="Arial" w:cs="Arial"/>
        </w:rPr>
      </w:pPr>
    </w:p>
    <w:p w14:paraId="1BA7D94A" w14:textId="34D8C84E" w:rsidR="001508C0" w:rsidRPr="00F125C5" w:rsidRDefault="001508C0" w:rsidP="005573AA">
      <w:pPr>
        <w:spacing w:after="0"/>
        <w:jc w:val="both"/>
        <w:rPr>
          <w:rFonts w:ascii="Arial" w:hAnsi="Arial" w:cs="Arial"/>
        </w:rPr>
      </w:pPr>
      <w:r w:rsidRPr="00F125C5">
        <w:rPr>
          <w:rFonts w:ascii="Arial" w:hAnsi="Arial" w:cs="Arial"/>
          <w:lang w:val="en-US"/>
        </w:rPr>
        <w:t xml:space="preserve">FEDERAL TRADE COMMISSION (2005). Gasoline Price Changes: the dynamic of supply, demand and competition. </w:t>
      </w:r>
      <w:r w:rsidRPr="00F125C5">
        <w:rPr>
          <w:rFonts w:ascii="Arial" w:hAnsi="Arial" w:cs="Arial"/>
        </w:rPr>
        <w:t xml:space="preserve">Disponível em: </w:t>
      </w:r>
      <w:hyperlink r:id="rId18" w:history="1">
        <w:r w:rsidRPr="00F125C5">
          <w:rPr>
            <w:rStyle w:val="Hyperlink"/>
            <w:rFonts w:ascii="Arial" w:hAnsi="Arial" w:cs="Arial"/>
          </w:rPr>
          <w:t>https://www.ftc.gov/sites/default/files/documents/reports/gasoline-price-changes-dynamic-supply-demand-and-competition-federal-trade-commission-report-2005/050705gaspricesrpt.pdf</w:t>
        </w:r>
      </w:hyperlink>
      <w:r w:rsidRPr="00F125C5">
        <w:rPr>
          <w:rFonts w:ascii="Arial" w:hAnsi="Arial" w:cs="Arial"/>
        </w:rPr>
        <w:t>. Acesso em 1 de novembro de 2018.</w:t>
      </w:r>
    </w:p>
    <w:p w14:paraId="1147AC66" w14:textId="77777777" w:rsidR="001508C0" w:rsidRPr="00F125C5" w:rsidRDefault="001508C0" w:rsidP="005573AA">
      <w:pPr>
        <w:spacing w:after="0"/>
        <w:jc w:val="both"/>
        <w:rPr>
          <w:rFonts w:ascii="Arial" w:hAnsi="Arial" w:cs="Arial"/>
        </w:rPr>
      </w:pPr>
    </w:p>
    <w:p w14:paraId="10480FE7" w14:textId="50D353E3" w:rsidR="009759C4" w:rsidRPr="00F125C5" w:rsidRDefault="009759C4" w:rsidP="00A3719D">
      <w:pPr>
        <w:spacing w:after="0"/>
        <w:jc w:val="both"/>
        <w:rPr>
          <w:rFonts w:ascii="Arial" w:hAnsi="Arial" w:cs="Arial"/>
          <w:lang w:val="en-US"/>
        </w:rPr>
      </w:pPr>
      <w:r w:rsidRPr="00F125C5">
        <w:rPr>
          <w:rFonts w:ascii="Arial" w:hAnsi="Arial" w:cs="Arial"/>
        </w:rPr>
        <w:t xml:space="preserve">GOLDSTEIN, Larry; GOLD, Ron; KLEIT, Andrew (1998). </w:t>
      </w:r>
      <w:r w:rsidRPr="00F125C5">
        <w:rPr>
          <w:rFonts w:ascii="Arial" w:hAnsi="Arial" w:cs="Arial"/>
          <w:lang w:val="en-US"/>
        </w:rPr>
        <w:t xml:space="preserve">Divorced from the facts: retail gasoline divorcement </w:t>
      </w:r>
      <w:proofErr w:type="spellStart"/>
      <w:r w:rsidRPr="00F125C5">
        <w:rPr>
          <w:rFonts w:ascii="Arial" w:hAnsi="Arial" w:cs="Arial"/>
          <w:lang w:val="en-US"/>
        </w:rPr>
        <w:t>redux</w:t>
      </w:r>
      <w:proofErr w:type="spellEnd"/>
      <w:r w:rsidRPr="00F125C5">
        <w:rPr>
          <w:rFonts w:ascii="Arial" w:hAnsi="Arial" w:cs="Arial"/>
          <w:lang w:val="en-US"/>
        </w:rPr>
        <w:t>. Oil &amp; Gas Journal. Vol. 95. Issue 45.</w:t>
      </w:r>
    </w:p>
    <w:p w14:paraId="2D441C04" w14:textId="77777777" w:rsidR="009759C4" w:rsidRPr="00F125C5" w:rsidRDefault="009759C4" w:rsidP="00A3719D">
      <w:pPr>
        <w:spacing w:after="0"/>
        <w:jc w:val="both"/>
        <w:rPr>
          <w:rFonts w:ascii="Arial" w:hAnsi="Arial" w:cs="Arial"/>
          <w:lang w:val="en-US"/>
        </w:rPr>
      </w:pPr>
    </w:p>
    <w:p w14:paraId="05AD8798" w14:textId="010DFA4D" w:rsidR="001508C0" w:rsidRPr="00F125C5" w:rsidRDefault="001508C0" w:rsidP="005573AA">
      <w:pPr>
        <w:spacing w:after="0"/>
        <w:jc w:val="both"/>
        <w:rPr>
          <w:rFonts w:ascii="Arial" w:hAnsi="Arial" w:cs="Arial"/>
        </w:rPr>
      </w:pPr>
      <w:r w:rsidRPr="00F125C5">
        <w:rPr>
          <w:rFonts w:ascii="Arial" w:hAnsi="Arial" w:cs="Arial"/>
          <w:lang w:val="en-US"/>
        </w:rPr>
        <w:t xml:space="preserve">OECD (2008). Competition policy for vertical relations in gasoline retailing. </w:t>
      </w:r>
      <w:r w:rsidRPr="00F125C5">
        <w:rPr>
          <w:rFonts w:ascii="Arial" w:hAnsi="Arial" w:cs="Arial"/>
        </w:rPr>
        <w:t xml:space="preserve">Disponível em: </w:t>
      </w:r>
      <w:hyperlink r:id="rId19" w:history="1">
        <w:r w:rsidRPr="00F125C5">
          <w:rPr>
            <w:rStyle w:val="Hyperlink"/>
            <w:rFonts w:ascii="Arial" w:hAnsi="Arial" w:cs="Arial"/>
          </w:rPr>
          <w:t>http://www.oecd.org/competition/abuse/43040511.pdf</w:t>
        </w:r>
      </w:hyperlink>
      <w:r w:rsidRPr="00F125C5">
        <w:rPr>
          <w:rFonts w:ascii="Arial" w:hAnsi="Arial" w:cs="Arial"/>
        </w:rPr>
        <w:t>. Acesso em 1 de novembro de 2018.</w:t>
      </w:r>
    </w:p>
    <w:p w14:paraId="6D379115" w14:textId="77777777" w:rsidR="001508C0" w:rsidRPr="00F125C5" w:rsidRDefault="001508C0" w:rsidP="005573AA">
      <w:pPr>
        <w:spacing w:after="0"/>
        <w:jc w:val="both"/>
        <w:rPr>
          <w:rFonts w:ascii="Arial" w:hAnsi="Arial" w:cs="Arial"/>
        </w:rPr>
      </w:pPr>
    </w:p>
    <w:p w14:paraId="07C5BBAF" w14:textId="77777777" w:rsidR="001508C0" w:rsidRPr="00F125C5" w:rsidRDefault="001508C0" w:rsidP="005573AA">
      <w:pPr>
        <w:spacing w:after="0"/>
        <w:jc w:val="both"/>
        <w:rPr>
          <w:rFonts w:ascii="Arial" w:hAnsi="Arial" w:cs="Arial"/>
          <w:lang w:val="en-US"/>
        </w:rPr>
      </w:pPr>
      <w:r w:rsidRPr="00F125C5">
        <w:rPr>
          <w:rFonts w:ascii="Arial" w:hAnsi="Arial" w:cs="Arial"/>
          <w:lang w:val="en-US"/>
        </w:rPr>
        <w:t xml:space="preserve">_____ (2013). Competition in Road Fuel, </w:t>
      </w:r>
      <w:proofErr w:type="spellStart"/>
      <w:r w:rsidRPr="00F125C5">
        <w:rPr>
          <w:rFonts w:ascii="Arial" w:hAnsi="Arial" w:cs="Arial"/>
          <w:lang w:val="en-US"/>
        </w:rPr>
        <w:t>disponível</w:t>
      </w:r>
      <w:proofErr w:type="spellEnd"/>
      <w:r w:rsidRPr="00F125C5">
        <w:rPr>
          <w:rFonts w:ascii="Arial" w:hAnsi="Arial" w:cs="Arial"/>
          <w:lang w:val="en-US"/>
        </w:rPr>
        <w:t xml:space="preserve"> </w:t>
      </w:r>
      <w:proofErr w:type="spellStart"/>
      <w:r w:rsidRPr="00F125C5">
        <w:rPr>
          <w:rFonts w:ascii="Arial" w:hAnsi="Arial" w:cs="Arial"/>
          <w:lang w:val="en-US"/>
        </w:rPr>
        <w:t>em</w:t>
      </w:r>
      <w:proofErr w:type="spellEnd"/>
      <w:r w:rsidRPr="00F125C5">
        <w:rPr>
          <w:rFonts w:ascii="Arial" w:hAnsi="Arial" w:cs="Arial"/>
          <w:lang w:val="en-US"/>
        </w:rPr>
        <w:t xml:space="preserve">:  </w:t>
      </w:r>
      <w:hyperlink r:id="rId20" w:history="1">
        <w:r w:rsidRPr="00F125C5">
          <w:rPr>
            <w:rStyle w:val="Hyperlink"/>
            <w:rFonts w:ascii="Arial" w:hAnsi="Arial" w:cs="Arial"/>
            <w:lang w:val="en-US"/>
          </w:rPr>
          <w:t>https://www.oecd.org/competition/CompetitionInRoadFuel.pdf</w:t>
        </w:r>
      </w:hyperlink>
      <w:r w:rsidRPr="00F125C5">
        <w:rPr>
          <w:rFonts w:ascii="Arial" w:hAnsi="Arial" w:cs="Arial"/>
          <w:lang w:val="en-US"/>
        </w:rPr>
        <w:t>.</w:t>
      </w:r>
    </w:p>
    <w:p w14:paraId="47BDCF2A" w14:textId="77777777" w:rsidR="001508C0" w:rsidRPr="00F125C5" w:rsidRDefault="001508C0" w:rsidP="005573AA">
      <w:pPr>
        <w:spacing w:after="0"/>
        <w:jc w:val="both"/>
        <w:rPr>
          <w:rFonts w:ascii="Arial" w:hAnsi="Arial" w:cs="Arial"/>
          <w:lang w:val="en-US"/>
        </w:rPr>
      </w:pPr>
    </w:p>
    <w:p w14:paraId="3E16863E" w14:textId="2BC63A95" w:rsidR="00A3719D" w:rsidRPr="00F125C5" w:rsidRDefault="00A3719D" w:rsidP="005573AA">
      <w:pPr>
        <w:spacing w:after="0"/>
        <w:jc w:val="both"/>
        <w:rPr>
          <w:rFonts w:ascii="Arial" w:hAnsi="Arial" w:cs="Arial"/>
          <w:lang w:val="en-US"/>
        </w:rPr>
      </w:pPr>
      <w:r w:rsidRPr="00F125C5">
        <w:rPr>
          <w:rFonts w:ascii="Arial" w:hAnsi="Arial" w:cs="Arial"/>
          <w:lang w:val="en-US"/>
        </w:rPr>
        <w:lastRenderedPageBreak/>
        <w:t xml:space="preserve">SLADE, Margaret E. (1998). Strategic Motives for Vertical Separation: Evidence from Retail Gasoline Markets. Journal of Law, Economics, and Organization, 14(1): 84-113. </w:t>
      </w:r>
    </w:p>
    <w:p w14:paraId="24EA6345" w14:textId="77777777" w:rsidR="00A3719D" w:rsidRPr="00F125C5" w:rsidRDefault="00A3719D" w:rsidP="00A3719D">
      <w:pPr>
        <w:spacing w:after="0"/>
        <w:jc w:val="both"/>
        <w:rPr>
          <w:rFonts w:ascii="Arial" w:hAnsi="Arial" w:cs="Arial"/>
          <w:lang w:val="en-US"/>
        </w:rPr>
      </w:pPr>
    </w:p>
    <w:p w14:paraId="7E3A0659" w14:textId="7E202442" w:rsidR="008B32C7" w:rsidRPr="00F125C5" w:rsidRDefault="008B32C7" w:rsidP="005573AA">
      <w:pPr>
        <w:spacing w:after="0"/>
        <w:jc w:val="both"/>
        <w:rPr>
          <w:rFonts w:ascii="Arial" w:hAnsi="Arial" w:cs="Arial"/>
          <w:b/>
          <w:lang w:val="en-US"/>
        </w:rPr>
      </w:pPr>
      <w:r w:rsidRPr="00F125C5">
        <w:rPr>
          <w:rFonts w:ascii="Arial" w:hAnsi="Arial" w:cs="Arial"/>
          <w:lang w:val="en-US"/>
        </w:rPr>
        <w:t xml:space="preserve">SLADE, Margaret; LAFONTAINE, Francine (2008). Exclusive Contracts and Vertical Restraints: Empirical Evidence and Public Policy. Cap.10. In BUCCIROSSI, </w:t>
      </w:r>
      <w:proofErr w:type="gramStart"/>
      <w:r w:rsidRPr="00F125C5">
        <w:rPr>
          <w:rFonts w:ascii="Arial" w:hAnsi="Arial" w:cs="Arial"/>
          <w:lang w:val="en-US"/>
        </w:rPr>
        <w:t>Paolo.;</w:t>
      </w:r>
      <w:proofErr w:type="gramEnd"/>
      <w:r w:rsidRPr="00F125C5">
        <w:rPr>
          <w:rFonts w:ascii="Arial" w:hAnsi="Arial" w:cs="Arial"/>
          <w:lang w:val="en-US"/>
        </w:rPr>
        <w:t xml:space="preserve"> Handbook of Antitrust Economics. </w:t>
      </w:r>
      <w:proofErr w:type="spellStart"/>
      <w:r w:rsidRPr="00F125C5">
        <w:rPr>
          <w:rFonts w:ascii="Arial" w:hAnsi="Arial" w:cs="Arial"/>
          <w:lang w:val="en-US"/>
        </w:rPr>
        <w:t>Massachussets</w:t>
      </w:r>
      <w:proofErr w:type="spellEnd"/>
      <w:r w:rsidRPr="00F125C5">
        <w:rPr>
          <w:rFonts w:ascii="Arial" w:hAnsi="Arial" w:cs="Arial"/>
          <w:lang w:val="en-US"/>
        </w:rPr>
        <w:t xml:space="preserve">: MIT Press. </w:t>
      </w:r>
    </w:p>
    <w:p w14:paraId="4E41B54A" w14:textId="77777777" w:rsidR="008B32C7" w:rsidRPr="00F125C5" w:rsidRDefault="008B32C7" w:rsidP="00EF35C3">
      <w:pPr>
        <w:spacing w:after="0"/>
        <w:jc w:val="both"/>
        <w:rPr>
          <w:rFonts w:ascii="Arial" w:hAnsi="Arial" w:cs="Arial"/>
          <w:lang w:val="en-US"/>
        </w:rPr>
      </w:pPr>
    </w:p>
    <w:p w14:paraId="7ECCE239" w14:textId="77777777" w:rsidR="008B32C7" w:rsidRPr="00F125C5" w:rsidRDefault="008B32C7" w:rsidP="00EF35C3">
      <w:pPr>
        <w:spacing w:after="0"/>
        <w:jc w:val="both"/>
        <w:rPr>
          <w:rFonts w:ascii="Arial" w:hAnsi="Arial" w:cs="Arial"/>
          <w:lang w:val="en-US"/>
        </w:rPr>
      </w:pPr>
    </w:p>
    <w:p w14:paraId="71CA0AC1" w14:textId="49D4ABBA" w:rsidR="00EF35C3" w:rsidRPr="00F125C5" w:rsidRDefault="00EF35C3" w:rsidP="005573AA">
      <w:pPr>
        <w:spacing w:after="0"/>
        <w:jc w:val="both"/>
        <w:rPr>
          <w:rFonts w:ascii="Arial" w:hAnsi="Arial" w:cs="Arial"/>
          <w:lang w:val="en-US"/>
        </w:rPr>
      </w:pPr>
      <w:r w:rsidRPr="00F125C5">
        <w:rPr>
          <w:rFonts w:ascii="Arial" w:hAnsi="Arial" w:cs="Arial"/>
          <w:lang w:val="en-US"/>
        </w:rPr>
        <w:t xml:space="preserve">VITA, Michael G. </w:t>
      </w:r>
      <w:r w:rsidR="00DE72B0" w:rsidRPr="00F125C5">
        <w:rPr>
          <w:rFonts w:ascii="Arial" w:hAnsi="Arial" w:cs="Arial"/>
          <w:lang w:val="en-US"/>
        </w:rPr>
        <w:t>(</w:t>
      </w:r>
      <w:r w:rsidRPr="00F125C5">
        <w:rPr>
          <w:rFonts w:ascii="Arial" w:hAnsi="Arial" w:cs="Arial"/>
          <w:lang w:val="en-US"/>
        </w:rPr>
        <w:t>2000</w:t>
      </w:r>
      <w:r w:rsidR="00DE72B0" w:rsidRPr="00F125C5">
        <w:rPr>
          <w:rFonts w:ascii="Arial" w:hAnsi="Arial" w:cs="Arial"/>
          <w:lang w:val="en-US"/>
        </w:rPr>
        <w:t>)</w:t>
      </w:r>
      <w:r w:rsidRPr="00F125C5">
        <w:rPr>
          <w:rFonts w:ascii="Arial" w:hAnsi="Arial" w:cs="Arial"/>
          <w:lang w:val="en-US"/>
        </w:rPr>
        <w:t>. Regulatory Restrictions on Vertical Integration and Control: The Competitive Impact of Gasoline Divorcement Policies. Journal of Regulatory Economics, 18(3): 217-33.</w:t>
      </w:r>
    </w:p>
    <w:p w14:paraId="675D69D8" w14:textId="77777777" w:rsidR="00EF35C3" w:rsidRPr="00F125C5" w:rsidRDefault="00EF35C3" w:rsidP="005573AA">
      <w:pPr>
        <w:spacing w:after="0"/>
        <w:jc w:val="both"/>
        <w:rPr>
          <w:rFonts w:ascii="Arial" w:hAnsi="Arial" w:cs="Arial"/>
          <w:lang w:val="en-US"/>
        </w:rPr>
      </w:pPr>
    </w:p>
    <w:p w14:paraId="583DD3BB" w14:textId="77777777" w:rsidR="00EF35C3" w:rsidRPr="00F125C5" w:rsidRDefault="00EF35C3" w:rsidP="00A3719D">
      <w:pPr>
        <w:spacing w:after="0"/>
        <w:jc w:val="both"/>
        <w:rPr>
          <w:rFonts w:ascii="Arial" w:hAnsi="Arial" w:cs="Arial"/>
          <w:lang w:val="en-US"/>
        </w:rPr>
      </w:pPr>
    </w:p>
    <w:p w14:paraId="57C146A3" w14:textId="379B349A" w:rsidR="001508C0" w:rsidRPr="00F125C5" w:rsidRDefault="001508C0" w:rsidP="005573AA">
      <w:pPr>
        <w:spacing w:after="0"/>
        <w:jc w:val="both"/>
        <w:rPr>
          <w:rFonts w:ascii="Arial" w:hAnsi="Arial" w:cs="Arial"/>
          <w:lang w:val="en-US"/>
        </w:rPr>
      </w:pPr>
      <w:r w:rsidRPr="00F125C5">
        <w:rPr>
          <w:rFonts w:ascii="Arial" w:hAnsi="Arial" w:cs="Arial"/>
          <w:lang w:val="en-US"/>
        </w:rPr>
        <w:t>WILLIAMSON, O. E. (1979). Transaction Cost Economics. The University of Chicago Press. Journal of Law and Economics, v.22, n.2, p. 233-261.</w:t>
      </w:r>
    </w:p>
    <w:p w14:paraId="2CBFC6E3" w14:textId="77777777" w:rsidR="001508C0" w:rsidRPr="00F125C5" w:rsidRDefault="001508C0" w:rsidP="005573AA">
      <w:pPr>
        <w:spacing w:after="0"/>
        <w:jc w:val="both"/>
        <w:rPr>
          <w:rFonts w:ascii="Arial" w:hAnsi="Arial" w:cs="Arial"/>
          <w:lang w:val="en-US"/>
        </w:rPr>
      </w:pPr>
    </w:p>
    <w:p w14:paraId="543DCCFA" w14:textId="77777777" w:rsidR="001508C0" w:rsidRPr="00F125C5" w:rsidRDefault="001508C0" w:rsidP="005573AA">
      <w:pPr>
        <w:spacing w:after="0"/>
        <w:jc w:val="both"/>
        <w:rPr>
          <w:rFonts w:ascii="Arial" w:hAnsi="Arial" w:cs="Arial"/>
          <w:lang w:val="en-US"/>
        </w:rPr>
      </w:pPr>
      <w:r w:rsidRPr="00F125C5">
        <w:rPr>
          <w:rFonts w:ascii="Arial" w:hAnsi="Arial" w:cs="Arial"/>
          <w:lang w:val="en-US"/>
        </w:rPr>
        <w:t xml:space="preserve">___________, O.E. (1985). The Economic Institutions of Capitalism. London: Free Press. </w:t>
      </w:r>
    </w:p>
    <w:p w14:paraId="61ED7CD8" w14:textId="77777777" w:rsidR="001508C0" w:rsidRPr="00F125C5" w:rsidRDefault="001508C0" w:rsidP="005573AA">
      <w:pPr>
        <w:spacing w:after="0"/>
        <w:jc w:val="both"/>
        <w:rPr>
          <w:rFonts w:ascii="Arial" w:hAnsi="Arial" w:cs="Arial"/>
          <w:lang w:val="en-US"/>
        </w:rPr>
      </w:pPr>
    </w:p>
    <w:p w14:paraId="6EDB4521" w14:textId="77777777" w:rsidR="001508C0" w:rsidRPr="00F125C5" w:rsidRDefault="001508C0" w:rsidP="005573AA">
      <w:pPr>
        <w:spacing w:after="0"/>
        <w:jc w:val="both"/>
        <w:rPr>
          <w:rFonts w:ascii="Arial" w:hAnsi="Arial" w:cs="Arial"/>
          <w:lang w:val="en-US"/>
        </w:rPr>
      </w:pPr>
      <w:r w:rsidRPr="00F125C5">
        <w:rPr>
          <w:rFonts w:ascii="Arial" w:hAnsi="Arial" w:cs="Arial"/>
          <w:lang w:val="en-US"/>
        </w:rPr>
        <w:t xml:space="preserve">___________, O.E. (1991). </w:t>
      </w:r>
      <w:proofErr w:type="spellStart"/>
      <w:r w:rsidRPr="00F125C5">
        <w:rPr>
          <w:rFonts w:ascii="Arial" w:hAnsi="Arial" w:cs="Arial"/>
          <w:lang w:val="en-US"/>
        </w:rPr>
        <w:t>Stategizing</w:t>
      </w:r>
      <w:proofErr w:type="spellEnd"/>
      <w:r w:rsidRPr="00F125C5">
        <w:rPr>
          <w:rFonts w:ascii="Arial" w:hAnsi="Arial" w:cs="Arial"/>
          <w:lang w:val="en-US"/>
        </w:rPr>
        <w:t xml:space="preserve">, Economizing, and Economic Organization: the Analysis of Discrete Structural Alternatives. Administrative Science Quarterly, 36, June-1991, pp. 269-96. </w:t>
      </w:r>
    </w:p>
    <w:p w14:paraId="7FB4C87F" w14:textId="77777777" w:rsidR="004E07EC" w:rsidRPr="00F125C5" w:rsidRDefault="004E07EC" w:rsidP="00B57670">
      <w:pPr>
        <w:spacing w:after="0" w:line="360" w:lineRule="auto"/>
        <w:jc w:val="both"/>
        <w:rPr>
          <w:rFonts w:ascii="Arial" w:hAnsi="Arial" w:cs="Arial"/>
          <w:lang w:val="en-US"/>
        </w:rPr>
      </w:pPr>
    </w:p>
    <w:sectPr w:rsidR="004E07EC" w:rsidRPr="00F125C5">
      <w:headerReference w:type="default" r:id="rId21"/>
      <w:footerReference w:type="defaul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59A5D2" w14:textId="77777777" w:rsidR="00AF0DCA" w:rsidRDefault="00AF0DCA" w:rsidP="003E36A0">
      <w:pPr>
        <w:spacing w:after="0" w:line="240" w:lineRule="auto"/>
      </w:pPr>
      <w:r>
        <w:separator/>
      </w:r>
    </w:p>
  </w:endnote>
  <w:endnote w:type="continuationSeparator" w:id="0">
    <w:p w14:paraId="4F1BD941" w14:textId="77777777" w:rsidR="00AF0DCA" w:rsidRDefault="00AF0DCA" w:rsidP="003E36A0">
      <w:pPr>
        <w:spacing w:after="0" w:line="240" w:lineRule="auto"/>
      </w:pPr>
      <w:r>
        <w:continuationSeparator/>
      </w:r>
    </w:p>
  </w:endnote>
  <w:endnote w:type="continuationNotice" w:id="1">
    <w:p w14:paraId="5FB2B11B" w14:textId="77777777" w:rsidR="00AF0DCA" w:rsidRDefault="00AF0D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w:altName w:val="Segoe UI Light"/>
    <w:charset w:val="00"/>
    <w:family w:val="swiss"/>
    <w:pitch w:val="variable"/>
    <w:sig w:usb0="00000001" w:usb1="400078FF" w:usb2="00000021"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479881"/>
      <w:docPartObj>
        <w:docPartGallery w:val="Page Numbers (Bottom of Page)"/>
        <w:docPartUnique/>
      </w:docPartObj>
    </w:sdtPr>
    <w:sdtEndPr>
      <w:rPr>
        <w:rFonts w:ascii="Tahoma" w:hAnsi="Tahoma" w:cs="Tahoma"/>
        <w:sz w:val="20"/>
        <w:szCs w:val="20"/>
      </w:rPr>
    </w:sdtEndPr>
    <w:sdtContent>
      <w:p w14:paraId="2ADFE9BD" w14:textId="2C9A6997" w:rsidR="00DD477E" w:rsidRPr="005573AA" w:rsidRDefault="00DD477E">
        <w:pPr>
          <w:pStyle w:val="Rodap"/>
          <w:jc w:val="right"/>
          <w:rPr>
            <w:rFonts w:ascii="Tahoma" w:hAnsi="Tahoma" w:cs="Tahoma"/>
            <w:sz w:val="20"/>
            <w:szCs w:val="20"/>
          </w:rPr>
        </w:pPr>
        <w:r w:rsidRPr="005573AA">
          <w:rPr>
            <w:rFonts w:ascii="Tahoma" w:hAnsi="Tahoma" w:cs="Tahoma"/>
            <w:sz w:val="20"/>
            <w:szCs w:val="20"/>
          </w:rPr>
          <w:fldChar w:fldCharType="begin"/>
        </w:r>
        <w:r w:rsidRPr="005573AA">
          <w:rPr>
            <w:rFonts w:ascii="Tahoma" w:hAnsi="Tahoma" w:cs="Tahoma"/>
            <w:sz w:val="20"/>
            <w:szCs w:val="20"/>
          </w:rPr>
          <w:instrText>PAGE   \* MERGEFORMAT</w:instrText>
        </w:r>
        <w:r w:rsidRPr="005573AA">
          <w:rPr>
            <w:rFonts w:ascii="Tahoma" w:hAnsi="Tahoma" w:cs="Tahoma"/>
            <w:sz w:val="20"/>
            <w:szCs w:val="20"/>
          </w:rPr>
          <w:fldChar w:fldCharType="separate"/>
        </w:r>
        <w:r w:rsidR="00685A29">
          <w:rPr>
            <w:rFonts w:ascii="Tahoma" w:hAnsi="Tahoma" w:cs="Tahoma"/>
            <w:noProof/>
            <w:sz w:val="20"/>
            <w:szCs w:val="20"/>
          </w:rPr>
          <w:t>30</w:t>
        </w:r>
        <w:r w:rsidRPr="005573AA">
          <w:rPr>
            <w:rFonts w:ascii="Tahoma" w:hAnsi="Tahoma" w:cs="Tahoma"/>
            <w:sz w:val="20"/>
            <w:szCs w:val="20"/>
          </w:rPr>
          <w:fldChar w:fldCharType="end"/>
        </w:r>
      </w:p>
    </w:sdtContent>
  </w:sdt>
  <w:p w14:paraId="4E8FC4B0" w14:textId="77777777" w:rsidR="00DD477E" w:rsidRDefault="00DD477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55336" w14:textId="77777777" w:rsidR="00AF0DCA" w:rsidRDefault="00AF0DCA" w:rsidP="003E36A0">
      <w:pPr>
        <w:spacing w:after="0" w:line="240" w:lineRule="auto"/>
      </w:pPr>
      <w:r>
        <w:separator/>
      </w:r>
    </w:p>
  </w:footnote>
  <w:footnote w:type="continuationSeparator" w:id="0">
    <w:p w14:paraId="355B8A5C" w14:textId="77777777" w:rsidR="00AF0DCA" w:rsidRDefault="00AF0DCA" w:rsidP="003E36A0">
      <w:pPr>
        <w:spacing w:after="0" w:line="240" w:lineRule="auto"/>
      </w:pPr>
      <w:r>
        <w:continuationSeparator/>
      </w:r>
    </w:p>
  </w:footnote>
  <w:footnote w:type="continuationNotice" w:id="1">
    <w:p w14:paraId="582787F8" w14:textId="77777777" w:rsidR="00AF0DCA" w:rsidRDefault="00AF0DCA">
      <w:pPr>
        <w:spacing w:after="0" w:line="240" w:lineRule="auto"/>
      </w:pPr>
    </w:p>
  </w:footnote>
  <w:footnote w:id="2">
    <w:p w14:paraId="36C8A15F" w14:textId="77777777" w:rsidR="00DD477E" w:rsidRPr="003C0053" w:rsidRDefault="00DD477E" w:rsidP="00530B1F">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Disponível em: </w:t>
      </w:r>
      <w:hyperlink r:id="rId1" w:history="1">
        <w:r w:rsidRPr="003C0053">
          <w:rPr>
            <w:rStyle w:val="Hyperlink"/>
            <w:rFonts w:ascii="Tahoma" w:hAnsi="Tahoma" w:cs="Tahoma"/>
            <w:sz w:val="18"/>
            <w:szCs w:val="18"/>
          </w:rPr>
          <w:t>http://www.cade.gov.br/acesso-a-informacao/publicacoes-institucionais/contribuicoes-do-cade/contribuicoes-do-cade_medidas-28maio2018-final.pdf</w:t>
        </w:r>
      </w:hyperlink>
      <w:r w:rsidRPr="003C0053">
        <w:rPr>
          <w:rFonts w:ascii="Tahoma" w:hAnsi="Tahoma" w:cs="Tahoma"/>
          <w:sz w:val="18"/>
          <w:szCs w:val="18"/>
        </w:rPr>
        <w:t xml:space="preserve">. </w:t>
      </w:r>
    </w:p>
  </w:footnote>
  <w:footnote w:id="3">
    <w:p w14:paraId="392C3B86" w14:textId="6861F05A" w:rsidR="00DD477E" w:rsidRDefault="00DD477E" w:rsidP="00223667">
      <w:pPr>
        <w:pStyle w:val="Textodenotaderodap"/>
        <w:jc w:val="both"/>
      </w:pPr>
      <w:r>
        <w:rPr>
          <w:rStyle w:val="Refdenotaderodap"/>
        </w:rPr>
        <w:footnoteRef/>
      </w:r>
      <w:r>
        <w:t xml:space="preserve"> (1) vedação da verticalização direta e indireta; (2) vedação da comercialização direta de produtores e importadores para revendedores; (3) vedação de que os </w:t>
      </w:r>
      <w:proofErr w:type="spellStart"/>
      <w:r>
        <w:t>TRRs</w:t>
      </w:r>
      <w:proofErr w:type="spellEnd"/>
      <w:r>
        <w:t xml:space="preserve"> comercializem outros combustíveis, além de óleo diesel; (4) manutenção da obrigatoriedade de que os </w:t>
      </w:r>
      <w:proofErr w:type="spellStart"/>
      <w:r>
        <w:t>TRRs</w:t>
      </w:r>
      <w:proofErr w:type="spellEnd"/>
      <w:r>
        <w:t xml:space="preserve"> comprem diretamente de distribuidores; (5) manutenção das limitações de comercialização para distribuidores e </w:t>
      </w:r>
      <w:proofErr w:type="spellStart"/>
      <w:r>
        <w:t>TRRs</w:t>
      </w:r>
      <w:proofErr w:type="spellEnd"/>
      <w:r>
        <w:t xml:space="preserve"> no que se refere aos pontos de abastecimento nos termos da Resolução ANP n° 34, de 1º de novembro de 2007.</w:t>
      </w:r>
    </w:p>
  </w:footnote>
  <w:footnote w:id="4">
    <w:p w14:paraId="17467492" w14:textId="7F06F8C3" w:rsidR="00DD477E" w:rsidRPr="00580566" w:rsidRDefault="00DD477E" w:rsidP="005366D0">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7E579D">
        <w:rPr>
          <w:rFonts w:ascii="Tahoma" w:hAnsi="Tahoma" w:cs="Tahoma"/>
          <w:sz w:val="18"/>
          <w:szCs w:val="18"/>
        </w:rPr>
        <w:t xml:space="preserve"> </w:t>
      </w:r>
      <w:r w:rsidRPr="0020440F">
        <w:rPr>
          <w:rFonts w:ascii="Tahoma" w:hAnsi="Tahoma" w:cs="Tahoma"/>
          <w:sz w:val="18"/>
          <w:szCs w:val="18"/>
        </w:rPr>
        <w:t>É o que dispõe</w:t>
      </w:r>
      <w:r>
        <w:rPr>
          <w:rFonts w:ascii="Tahoma" w:hAnsi="Tahoma" w:cs="Tahoma"/>
          <w:sz w:val="18"/>
          <w:szCs w:val="18"/>
        </w:rPr>
        <w:t>m</w:t>
      </w:r>
      <w:r w:rsidRPr="0020440F">
        <w:rPr>
          <w:rFonts w:ascii="Tahoma" w:hAnsi="Tahoma" w:cs="Tahoma"/>
          <w:sz w:val="18"/>
          <w:szCs w:val="18"/>
        </w:rPr>
        <w:t xml:space="preserve"> os a</w:t>
      </w:r>
      <w:r w:rsidRPr="007E579D">
        <w:rPr>
          <w:rFonts w:ascii="Tahoma" w:hAnsi="Tahoma" w:cs="Tahoma"/>
          <w:sz w:val="18"/>
          <w:szCs w:val="18"/>
        </w:rPr>
        <w:t xml:space="preserve">rt. </w:t>
      </w:r>
      <w:r w:rsidRPr="002C4B0C">
        <w:rPr>
          <w:rFonts w:ascii="Tahoma" w:hAnsi="Tahoma" w:cs="Tahoma"/>
          <w:sz w:val="18"/>
          <w:szCs w:val="18"/>
        </w:rPr>
        <w:t>8°, inciso</w:t>
      </w:r>
      <w:r>
        <w:rPr>
          <w:rFonts w:ascii="Tahoma" w:hAnsi="Tahoma" w:cs="Tahoma"/>
          <w:sz w:val="18"/>
          <w:szCs w:val="18"/>
        </w:rPr>
        <w:t>s</w:t>
      </w:r>
      <w:r w:rsidRPr="002C4B0C">
        <w:rPr>
          <w:rFonts w:ascii="Tahoma" w:hAnsi="Tahoma" w:cs="Tahoma"/>
          <w:sz w:val="18"/>
          <w:szCs w:val="18"/>
        </w:rPr>
        <w:t xml:space="preserve"> IX</w:t>
      </w:r>
      <w:r>
        <w:rPr>
          <w:rFonts w:ascii="Tahoma" w:hAnsi="Tahoma" w:cs="Tahoma"/>
          <w:sz w:val="18"/>
          <w:szCs w:val="18"/>
        </w:rPr>
        <w:t xml:space="preserve"> e X</w:t>
      </w:r>
      <w:r w:rsidRPr="002C4B0C">
        <w:rPr>
          <w:rFonts w:ascii="Tahoma" w:hAnsi="Tahoma" w:cs="Tahoma"/>
          <w:sz w:val="18"/>
          <w:szCs w:val="18"/>
        </w:rPr>
        <w:t>, e art. 26</w:t>
      </w:r>
      <w:r>
        <w:rPr>
          <w:rFonts w:ascii="Tahoma" w:hAnsi="Tahoma" w:cs="Tahoma"/>
          <w:sz w:val="18"/>
          <w:szCs w:val="18"/>
        </w:rPr>
        <w:t xml:space="preserve"> da Resolução nº 41/2013</w:t>
      </w:r>
      <w:r w:rsidRPr="007E579D">
        <w:rPr>
          <w:rFonts w:ascii="Tahoma" w:hAnsi="Tahoma" w:cs="Tahoma"/>
          <w:sz w:val="18"/>
          <w:szCs w:val="18"/>
        </w:rPr>
        <w:t>.</w:t>
      </w:r>
    </w:p>
  </w:footnote>
  <w:footnote w:id="5">
    <w:p w14:paraId="07A720C9" w14:textId="4391EB0C" w:rsidR="00DD477E" w:rsidRPr="005573AA" w:rsidRDefault="00DD477E" w:rsidP="005573AA">
      <w:pPr>
        <w:pStyle w:val="Textodenotaderodap"/>
        <w:jc w:val="both"/>
        <w:rPr>
          <w:rFonts w:ascii="Tahoma" w:hAnsi="Tahoma" w:cs="Tahoma"/>
          <w:i/>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bookmarkStart w:id="0" w:name="33"/>
      <w:r w:rsidRPr="005573AA">
        <w:rPr>
          <w:rFonts w:ascii="Tahoma" w:hAnsi="Tahoma" w:cs="Tahoma"/>
          <w:b/>
          <w:i/>
          <w:sz w:val="18"/>
          <w:szCs w:val="18"/>
        </w:rPr>
        <w:t>Art. 33</w:t>
      </w:r>
      <w:r>
        <w:rPr>
          <w:rFonts w:ascii="Tahoma" w:hAnsi="Tahoma" w:cs="Tahoma"/>
          <w:b/>
          <w:i/>
          <w:sz w:val="18"/>
          <w:szCs w:val="18"/>
        </w:rPr>
        <w:t>.</w:t>
      </w:r>
      <w:r w:rsidRPr="005573AA">
        <w:rPr>
          <w:rFonts w:ascii="Tahoma" w:hAnsi="Tahoma" w:cs="Tahoma"/>
          <w:i/>
          <w:sz w:val="18"/>
          <w:szCs w:val="18"/>
        </w:rPr>
        <w:t xml:space="preserve"> Fica vedado ao distribuidor de combustíveis líquidos autorizado pela ANP o exercício da atividade de transportador revendedor retalhista e de revenda varejista de combustíveis automotivos.</w:t>
      </w:r>
      <w:bookmarkEnd w:id="0"/>
    </w:p>
  </w:footnote>
  <w:footnote w:id="6">
    <w:p w14:paraId="60EBEB91" w14:textId="477E50FD" w:rsidR="00DD477E" w:rsidRPr="005573AA" w:rsidRDefault="00DD477E">
      <w:pPr>
        <w:pStyle w:val="Textodenotaderodap"/>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r>
        <w:rPr>
          <w:rFonts w:ascii="Tahoma" w:hAnsi="Tahoma" w:cs="Tahoma"/>
          <w:sz w:val="18"/>
          <w:szCs w:val="18"/>
        </w:rPr>
        <w:t>Art. 12, inciso III, alínea f, da Resolução ANP nº 58/2014.</w:t>
      </w:r>
    </w:p>
  </w:footnote>
  <w:footnote w:id="7">
    <w:p w14:paraId="477517D5" w14:textId="62A3F1ED" w:rsidR="00DD477E" w:rsidRDefault="00DD477E">
      <w:pPr>
        <w:pStyle w:val="Textodenotaderodap"/>
      </w:pPr>
      <w:r w:rsidRPr="005573AA">
        <w:rPr>
          <w:rStyle w:val="Refdenotaderodap"/>
          <w:rFonts w:ascii="Tahoma" w:hAnsi="Tahoma" w:cs="Tahoma"/>
          <w:sz w:val="18"/>
          <w:szCs w:val="18"/>
        </w:rPr>
        <w:footnoteRef/>
      </w:r>
      <w:r w:rsidRPr="005573AA">
        <w:rPr>
          <w:rFonts w:ascii="Tahoma" w:hAnsi="Tahoma" w:cs="Tahoma"/>
          <w:sz w:val="18"/>
          <w:szCs w:val="18"/>
        </w:rPr>
        <w:t xml:space="preserve"> Art. 18</w:t>
      </w:r>
      <w:r>
        <w:rPr>
          <w:rFonts w:ascii="Tahoma" w:hAnsi="Tahoma" w:cs="Tahoma"/>
          <w:sz w:val="18"/>
          <w:szCs w:val="18"/>
        </w:rPr>
        <w:t xml:space="preserve">º da Resolução ANP nº 16/2010. </w:t>
      </w:r>
    </w:p>
  </w:footnote>
  <w:footnote w:id="8">
    <w:p w14:paraId="5E21587C" w14:textId="24FE0634" w:rsidR="00DD477E" w:rsidRPr="005573AA" w:rsidRDefault="00DD477E">
      <w:pPr>
        <w:pStyle w:val="Textodenotaderodap"/>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r w:rsidRPr="007C3782">
        <w:rPr>
          <w:rFonts w:ascii="Tahoma" w:hAnsi="Tahoma" w:cs="Tahoma"/>
          <w:sz w:val="18"/>
          <w:szCs w:val="18"/>
        </w:rPr>
        <w:t>Art. 2º, inciso VI, d</w:t>
      </w:r>
      <w:r w:rsidRPr="005573AA">
        <w:rPr>
          <w:rFonts w:ascii="Tahoma" w:hAnsi="Tahoma" w:cs="Tahoma"/>
          <w:sz w:val="18"/>
          <w:szCs w:val="18"/>
        </w:rPr>
        <w:t>a R</w:t>
      </w:r>
      <w:r>
        <w:rPr>
          <w:rFonts w:ascii="Tahoma" w:hAnsi="Tahoma" w:cs="Tahoma"/>
          <w:sz w:val="18"/>
          <w:szCs w:val="18"/>
        </w:rPr>
        <w:t xml:space="preserve">esolução ANP nº 43/2009. </w:t>
      </w:r>
    </w:p>
  </w:footnote>
  <w:footnote w:id="9">
    <w:p w14:paraId="73E514E9" w14:textId="50198B6F" w:rsidR="00DD477E" w:rsidRPr="005573AA" w:rsidRDefault="00DD477E">
      <w:pPr>
        <w:pStyle w:val="Textodenotaderodap"/>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r>
        <w:rPr>
          <w:rFonts w:ascii="Tahoma" w:hAnsi="Tahoma" w:cs="Tahoma"/>
          <w:sz w:val="18"/>
          <w:szCs w:val="18"/>
        </w:rPr>
        <w:t xml:space="preserve">Art. 4º, parágrafo 2º, da Resolução ANP nº 314/2001. </w:t>
      </w:r>
    </w:p>
  </w:footnote>
  <w:footnote w:id="10">
    <w:p w14:paraId="426066DA" w14:textId="6BAE7544" w:rsidR="00DD477E" w:rsidRPr="005573AA" w:rsidRDefault="00DD477E" w:rsidP="005573AA">
      <w:pPr>
        <w:pStyle w:val="Textodenotaderodap"/>
        <w:jc w:val="both"/>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r>
        <w:rPr>
          <w:rFonts w:ascii="Tahoma" w:hAnsi="Tahoma" w:cs="Tahoma"/>
          <w:sz w:val="18"/>
          <w:szCs w:val="18"/>
        </w:rPr>
        <w:t xml:space="preserve">Tendo em vista o objeto da presente TPC nº 03/2018, tal qual divulgado por meio do Aviso de Tomada Pública de Contribuições publicado no DOU no dia 20 de setembro de 2018, são de especial interesse, no que toca à regulação das atividades desenvolvidas pelos </w:t>
      </w:r>
      <w:proofErr w:type="spellStart"/>
      <w:r>
        <w:rPr>
          <w:rFonts w:ascii="Tahoma" w:hAnsi="Tahoma" w:cs="Tahoma"/>
          <w:sz w:val="18"/>
          <w:szCs w:val="18"/>
        </w:rPr>
        <w:t>TRRs</w:t>
      </w:r>
      <w:proofErr w:type="spellEnd"/>
      <w:r>
        <w:rPr>
          <w:rFonts w:ascii="Tahoma" w:hAnsi="Tahoma" w:cs="Tahoma"/>
          <w:sz w:val="18"/>
          <w:szCs w:val="18"/>
        </w:rPr>
        <w:t xml:space="preserve">, a (i) vedação de que os </w:t>
      </w:r>
      <w:proofErr w:type="spellStart"/>
      <w:r>
        <w:rPr>
          <w:rFonts w:ascii="Tahoma" w:hAnsi="Tahoma" w:cs="Tahoma"/>
          <w:sz w:val="18"/>
          <w:szCs w:val="18"/>
        </w:rPr>
        <w:t>TRRs</w:t>
      </w:r>
      <w:proofErr w:type="spellEnd"/>
      <w:r>
        <w:rPr>
          <w:rFonts w:ascii="Tahoma" w:hAnsi="Tahoma" w:cs="Tahoma"/>
          <w:sz w:val="18"/>
          <w:szCs w:val="18"/>
        </w:rPr>
        <w:t xml:space="preserve"> comercializem outros combustíveis, além de óleo diesel; a (</w:t>
      </w:r>
      <w:proofErr w:type="spellStart"/>
      <w:r>
        <w:rPr>
          <w:rFonts w:ascii="Tahoma" w:hAnsi="Tahoma" w:cs="Tahoma"/>
          <w:sz w:val="18"/>
          <w:szCs w:val="18"/>
        </w:rPr>
        <w:t>ii</w:t>
      </w:r>
      <w:proofErr w:type="spellEnd"/>
      <w:r>
        <w:rPr>
          <w:rFonts w:ascii="Tahoma" w:hAnsi="Tahoma" w:cs="Tahoma"/>
          <w:sz w:val="18"/>
          <w:szCs w:val="18"/>
        </w:rPr>
        <w:t xml:space="preserve">) obrigatoriedade de que os </w:t>
      </w:r>
      <w:proofErr w:type="spellStart"/>
      <w:r>
        <w:rPr>
          <w:rFonts w:ascii="Tahoma" w:hAnsi="Tahoma" w:cs="Tahoma"/>
          <w:sz w:val="18"/>
          <w:szCs w:val="18"/>
        </w:rPr>
        <w:t>TRRs</w:t>
      </w:r>
      <w:proofErr w:type="spellEnd"/>
      <w:r>
        <w:rPr>
          <w:rFonts w:ascii="Tahoma" w:hAnsi="Tahoma" w:cs="Tahoma"/>
          <w:sz w:val="18"/>
          <w:szCs w:val="18"/>
        </w:rPr>
        <w:t xml:space="preserve"> comprem diretamente dos distribuidores; e (</w:t>
      </w:r>
      <w:proofErr w:type="spellStart"/>
      <w:r>
        <w:rPr>
          <w:rFonts w:ascii="Tahoma" w:hAnsi="Tahoma" w:cs="Tahoma"/>
          <w:sz w:val="18"/>
          <w:szCs w:val="18"/>
        </w:rPr>
        <w:t>iii</w:t>
      </w:r>
      <w:proofErr w:type="spellEnd"/>
      <w:r>
        <w:rPr>
          <w:rFonts w:ascii="Tahoma" w:hAnsi="Tahoma" w:cs="Tahoma"/>
          <w:sz w:val="18"/>
          <w:szCs w:val="18"/>
        </w:rPr>
        <w:t xml:space="preserve">) as limitações de comercialização para distribuidores e </w:t>
      </w:r>
      <w:proofErr w:type="spellStart"/>
      <w:r>
        <w:rPr>
          <w:rFonts w:ascii="Tahoma" w:hAnsi="Tahoma" w:cs="Tahoma"/>
          <w:sz w:val="18"/>
          <w:szCs w:val="18"/>
        </w:rPr>
        <w:t>TRRs</w:t>
      </w:r>
      <w:proofErr w:type="spellEnd"/>
      <w:r>
        <w:rPr>
          <w:rFonts w:ascii="Tahoma" w:hAnsi="Tahoma" w:cs="Tahoma"/>
          <w:sz w:val="18"/>
          <w:szCs w:val="18"/>
        </w:rPr>
        <w:t xml:space="preserve"> no que se refere aos pontos de abastecimento nos termos da Resolução ANP nº 34/2007. </w:t>
      </w:r>
    </w:p>
  </w:footnote>
  <w:footnote w:id="11">
    <w:p w14:paraId="1EF954F5" w14:textId="3E191F59" w:rsidR="00DD477E" w:rsidRPr="00332E6C" w:rsidRDefault="00DD477E" w:rsidP="00332E6C">
      <w:pPr>
        <w:pStyle w:val="Textodenotaderodap"/>
        <w:jc w:val="both"/>
        <w:rPr>
          <w:rFonts w:ascii="Tahoma" w:hAnsi="Tahoma" w:cs="Tahoma"/>
          <w:sz w:val="18"/>
          <w:szCs w:val="18"/>
        </w:rPr>
      </w:pPr>
      <w:r w:rsidRPr="00332E6C">
        <w:rPr>
          <w:rStyle w:val="Refdenotaderodap"/>
          <w:rFonts w:ascii="Tahoma" w:hAnsi="Tahoma" w:cs="Tahoma"/>
          <w:sz w:val="18"/>
          <w:szCs w:val="18"/>
        </w:rPr>
        <w:footnoteRef/>
      </w:r>
      <w:r w:rsidRPr="00332E6C">
        <w:rPr>
          <w:rFonts w:ascii="Tahoma" w:hAnsi="Tahoma" w:cs="Tahoma"/>
          <w:sz w:val="18"/>
          <w:szCs w:val="18"/>
        </w:rPr>
        <w:t xml:space="preserve"> Nos concentraremos aqui a discutir aos processos relativos ao setor de combustíveis, mas processo semelhante também tem ocorrido com o setor de gás</w:t>
      </w:r>
      <w:r>
        <w:rPr>
          <w:rFonts w:ascii="Tahoma" w:hAnsi="Tahoma" w:cs="Tahoma"/>
          <w:sz w:val="18"/>
          <w:szCs w:val="18"/>
        </w:rPr>
        <w:t xml:space="preserve"> (GLP)</w:t>
      </w:r>
      <w:r w:rsidRPr="00332E6C">
        <w:rPr>
          <w:rFonts w:ascii="Tahoma" w:hAnsi="Tahoma" w:cs="Tahoma"/>
          <w:sz w:val="18"/>
          <w:szCs w:val="18"/>
        </w:rPr>
        <w:t xml:space="preserve">. </w:t>
      </w:r>
    </w:p>
  </w:footnote>
  <w:footnote w:id="12">
    <w:p w14:paraId="3760878B" w14:textId="77777777" w:rsidR="00DD477E" w:rsidRPr="00534F87" w:rsidRDefault="00DD477E" w:rsidP="00860969">
      <w:pPr>
        <w:pStyle w:val="Textodenotaderodap"/>
        <w:jc w:val="both"/>
        <w:rPr>
          <w:rFonts w:ascii="Tahoma" w:hAnsi="Tahoma" w:cs="Tahoma"/>
          <w:sz w:val="18"/>
          <w:szCs w:val="18"/>
        </w:rPr>
      </w:pPr>
      <w:r w:rsidRPr="00534F87">
        <w:rPr>
          <w:rStyle w:val="Refdenotaderodap"/>
          <w:rFonts w:ascii="Tahoma" w:hAnsi="Tahoma" w:cs="Tahoma"/>
          <w:sz w:val="18"/>
          <w:szCs w:val="18"/>
        </w:rPr>
        <w:footnoteRef/>
      </w:r>
      <w:r w:rsidRPr="00534F87">
        <w:rPr>
          <w:rFonts w:ascii="Tahoma" w:hAnsi="Tahoma" w:cs="Tahoma"/>
          <w:sz w:val="18"/>
          <w:szCs w:val="18"/>
        </w:rPr>
        <w:t xml:space="preserve"> </w:t>
      </w:r>
      <w:r>
        <w:rPr>
          <w:rFonts w:ascii="Tahoma" w:hAnsi="Tahoma" w:cs="Tahoma"/>
          <w:sz w:val="18"/>
          <w:szCs w:val="18"/>
        </w:rPr>
        <w:t xml:space="preserve">Conferir </w:t>
      </w:r>
      <w:r w:rsidRPr="00534F87">
        <w:rPr>
          <w:rFonts w:ascii="Tahoma" w:hAnsi="Tahoma" w:cs="Tahoma"/>
          <w:sz w:val="18"/>
          <w:szCs w:val="18"/>
        </w:rPr>
        <w:t xml:space="preserve">Relatório Combustível Brasil de maio de 2017, p. </w:t>
      </w:r>
      <w:r>
        <w:rPr>
          <w:rFonts w:ascii="Tahoma" w:hAnsi="Tahoma" w:cs="Tahoma"/>
          <w:sz w:val="18"/>
          <w:szCs w:val="18"/>
        </w:rPr>
        <w:t xml:space="preserve">04 e </w:t>
      </w:r>
      <w:r w:rsidRPr="00534F87">
        <w:rPr>
          <w:rFonts w:ascii="Tahoma" w:hAnsi="Tahoma" w:cs="Tahoma"/>
          <w:sz w:val="18"/>
          <w:szCs w:val="18"/>
        </w:rPr>
        <w:t>08</w:t>
      </w:r>
      <w:r>
        <w:rPr>
          <w:rFonts w:ascii="Tahoma" w:hAnsi="Tahoma" w:cs="Tahoma"/>
          <w:sz w:val="18"/>
          <w:szCs w:val="18"/>
        </w:rPr>
        <w:t>,</w:t>
      </w:r>
      <w:r w:rsidRPr="00534F87">
        <w:rPr>
          <w:rFonts w:ascii="Tahoma" w:hAnsi="Tahoma" w:cs="Tahoma"/>
          <w:sz w:val="18"/>
          <w:szCs w:val="18"/>
        </w:rPr>
        <w:t xml:space="preserve"> disponível em: </w:t>
      </w:r>
      <w:hyperlink r:id="rId2" w:history="1">
        <w:r w:rsidRPr="00DC7B90">
          <w:rPr>
            <w:rStyle w:val="Hyperlink"/>
            <w:rFonts w:ascii="Tahoma" w:hAnsi="Tahoma" w:cs="Tahoma"/>
            <w:sz w:val="18"/>
            <w:szCs w:val="18"/>
          </w:rPr>
          <w:t>http://www.mme.gov.br/documents/10584/24442563/2017+05+10+Combustivel+Brasil+vFinal.pdf</w:t>
        </w:r>
      </w:hyperlink>
      <w:r>
        <w:rPr>
          <w:rFonts w:ascii="Tahoma" w:hAnsi="Tahoma" w:cs="Tahoma"/>
          <w:sz w:val="18"/>
          <w:szCs w:val="18"/>
        </w:rPr>
        <w:t xml:space="preserve">. </w:t>
      </w:r>
    </w:p>
  </w:footnote>
  <w:footnote w:id="13">
    <w:p w14:paraId="0D3C9E37" w14:textId="77777777" w:rsidR="00DD477E" w:rsidRPr="00225A03" w:rsidRDefault="00DD477E" w:rsidP="00860969">
      <w:pPr>
        <w:pStyle w:val="Textodenotaderodap"/>
        <w:jc w:val="both"/>
        <w:rPr>
          <w:rFonts w:ascii="Tahoma" w:hAnsi="Tahoma" w:cs="Tahoma"/>
          <w:sz w:val="18"/>
          <w:szCs w:val="18"/>
        </w:rPr>
      </w:pPr>
      <w:r w:rsidRPr="00225A03">
        <w:rPr>
          <w:rStyle w:val="Refdenotaderodap"/>
          <w:rFonts w:ascii="Tahoma" w:hAnsi="Tahoma" w:cs="Tahoma"/>
          <w:sz w:val="18"/>
          <w:szCs w:val="18"/>
        </w:rPr>
        <w:footnoteRef/>
      </w:r>
      <w:r w:rsidRPr="00225A03">
        <w:rPr>
          <w:rFonts w:ascii="Tahoma" w:hAnsi="Tahoma" w:cs="Tahoma"/>
          <w:sz w:val="18"/>
          <w:szCs w:val="18"/>
        </w:rPr>
        <w:t xml:space="preserve"> O Plano de Negócios e Gestão da Petrobras para o período de 2017-2021 (PNG 17-21) instituiu nova política de preços, alinhada aos preços internacionais de combustíveis; previu o ingresso de mais agentes para atender à totalidade da demanda; e previu o desenvolvimento de novas parcerias no </w:t>
      </w:r>
      <w:proofErr w:type="spellStart"/>
      <w:r w:rsidRPr="00225A03">
        <w:rPr>
          <w:rFonts w:ascii="Tahoma" w:hAnsi="Tahoma" w:cs="Tahoma"/>
          <w:i/>
          <w:sz w:val="18"/>
          <w:szCs w:val="18"/>
        </w:rPr>
        <w:t>downstream</w:t>
      </w:r>
      <w:proofErr w:type="spellEnd"/>
      <w:r w:rsidRPr="00225A03">
        <w:rPr>
          <w:rFonts w:ascii="Tahoma" w:hAnsi="Tahoma" w:cs="Tahoma"/>
          <w:sz w:val="18"/>
          <w:szCs w:val="18"/>
        </w:rPr>
        <w:t>.</w:t>
      </w:r>
    </w:p>
  </w:footnote>
  <w:footnote w:id="14">
    <w:p w14:paraId="698E58BA" w14:textId="77777777" w:rsidR="00DD477E" w:rsidRPr="00225A03" w:rsidRDefault="00DD477E" w:rsidP="00860969">
      <w:pPr>
        <w:snapToGrid w:val="0"/>
        <w:spacing w:after="0"/>
        <w:jc w:val="both"/>
        <w:rPr>
          <w:rFonts w:ascii="Tahoma" w:eastAsia="Times New Roman" w:hAnsi="Tahoma" w:cs="Tahoma"/>
          <w:sz w:val="18"/>
          <w:szCs w:val="18"/>
        </w:rPr>
      </w:pPr>
      <w:r w:rsidRPr="00225A03">
        <w:rPr>
          <w:rStyle w:val="Refdenotaderodap"/>
          <w:rFonts w:ascii="Tahoma" w:hAnsi="Tahoma" w:cs="Tahoma"/>
          <w:sz w:val="18"/>
          <w:szCs w:val="18"/>
        </w:rPr>
        <w:footnoteRef/>
      </w:r>
      <w:r w:rsidRPr="00225A03">
        <w:rPr>
          <w:rFonts w:ascii="Tahoma" w:hAnsi="Tahoma" w:cs="Tahoma"/>
          <w:sz w:val="18"/>
          <w:szCs w:val="18"/>
        </w:rPr>
        <w:t xml:space="preserve"> Programa Combustível Brasil, disponível em: </w:t>
      </w:r>
      <w:hyperlink r:id="rId3" w:history="1">
        <w:r w:rsidRPr="00DC7B90">
          <w:rPr>
            <w:rStyle w:val="Hyperlink"/>
            <w:rFonts w:ascii="Tahoma" w:hAnsi="Tahoma" w:cs="Tahoma"/>
            <w:sz w:val="18"/>
            <w:szCs w:val="18"/>
          </w:rPr>
          <w:t>http://www.mme.gov.br/web/guest/secretarias/petroleo-gas-natural-e-combustiveis-renovaveis/programas/combustivel-brasil/principal</w:t>
        </w:r>
      </w:hyperlink>
      <w:r>
        <w:rPr>
          <w:rFonts w:ascii="Tahoma" w:hAnsi="Tahoma" w:cs="Tahoma"/>
          <w:sz w:val="18"/>
          <w:szCs w:val="18"/>
        </w:rPr>
        <w:t xml:space="preserve">. </w:t>
      </w:r>
    </w:p>
  </w:footnote>
  <w:footnote w:id="15">
    <w:p w14:paraId="14EED2FB" w14:textId="77777777" w:rsidR="00DD477E" w:rsidRDefault="00DD477E" w:rsidP="00860969">
      <w:pPr>
        <w:pStyle w:val="Textodenotaderodap"/>
        <w:jc w:val="both"/>
      </w:pPr>
      <w:r w:rsidRPr="00225A03">
        <w:rPr>
          <w:rStyle w:val="Refdenotaderodap"/>
          <w:rFonts w:ascii="Tahoma" w:hAnsi="Tahoma" w:cs="Tahoma"/>
          <w:sz w:val="18"/>
          <w:szCs w:val="18"/>
        </w:rPr>
        <w:footnoteRef/>
      </w:r>
      <w:r w:rsidRPr="00225A03">
        <w:rPr>
          <w:rFonts w:ascii="Tahoma" w:hAnsi="Tahoma" w:cs="Tahoma"/>
          <w:sz w:val="18"/>
          <w:szCs w:val="18"/>
        </w:rPr>
        <w:t xml:space="preserve"> Consulta Pública MME nº 029/2017, </w:t>
      </w:r>
      <w:r>
        <w:rPr>
          <w:rFonts w:ascii="Tahoma" w:hAnsi="Tahoma" w:cs="Tahoma"/>
          <w:sz w:val="18"/>
          <w:szCs w:val="18"/>
        </w:rPr>
        <w:t>a</w:t>
      </w:r>
      <w:r w:rsidRPr="00225A03">
        <w:rPr>
          <w:rFonts w:ascii="Tahoma" w:hAnsi="Tahoma" w:cs="Tahoma"/>
          <w:sz w:val="18"/>
          <w:szCs w:val="18"/>
        </w:rPr>
        <w:t>cessível em</w:t>
      </w:r>
      <w:r>
        <w:rPr>
          <w:rFonts w:ascii="Tahoma" w:hAnsi="Tahoma" w:cs="Tahoma"/>
          <w:sz w:val="18"/>
          <w:szCs w:val="18"/>
        </w:rPr>
        <w:t xml:space="preserve">: </w:t>
      </w:r>
      <w:hyperlink r:id="rId4" w:history="1">
        <w:r w:rsidRPr="00DC7B90">
          <w:rPr>
            <w:rStyle w:val="Hyperlink"/>
            <w:rFonts w:ascii="Tahoma" w:hAnsi="Tahoma" w:cs="Tahoma"/>
            <w:sz w:val="18"/>
            <w:szCs w:val="18"/>
          </w:rPr>
          <w:t>http://www.mme.gov.br/web/guest/consultas-publicas?p_p_id=consultapublicaexterna_WAR_consultapublicaportlet&amp;p_p_lifecycle=0&amp;p_p_state=normal&amp;p_p_mode=view&amp;p_p_col_id=column-1&amp;p_p_col_count=1&amp;_consultapublicaexterna_WAR_consultapublicaportlet_consultaId=29&amp;_consultapublicaexterna_WAR_consultapublicaportlet_mvcPath=/html/publico/dadosConsultaPublica.jsp</w:t>
        </w:r>
      </w:hyperlink>
      <w:r w:rsidRPr="00225A03">
        <w:rPr>
          <w:rFonts w:ascii="Tahoma" w:hAnsi="Tahoma" w:cs="Tahoma"/>
          <w:sz w:val="18"/>
          <w:szCs w:val="18"/>
        </w:rPr>
        <w:t>.</w:t>
      </w:r>
      <w:r>
        <w:rPr>
          <w:rFonts w:ascii="Tahoma" w:hAnsi="Tahoma" w:cs="Tahoma"/>
          <w:sz w:val="18"/>
          <w:szCs w:val="18"/>
        </w:rPr>
        <w:t xml:space="preserve"> </w:t>
      </w:r>
    </w:p>
  </w:footnote>
  <w:footnote w:id="16">
    <w:p w14:paraId="2920A0E1" w14:textId="77777777" w:rsidR="00DD477E" w:rsidRPr="00B80062" w:rsidRDefault="00DD477E" w:rsidP="00860969">
      <w:pPr>
        <w:autoSpaceDE w:val="0"/>
        <w:autoSpaceDN w:val="0"/>
        <w:adjustRightInd w:val="0"/>
        <w:snapToGrid w:val="0"/>
        <w:spacing w:after="60"/>
        <w:jc w:val="both"/>
        <w:rPr>
          <w:rFonts w:ascii="Tahoma" w:hAnsi="Tahoma" w:cs="Tahoma"/>
          <w:sz w:val="18"/>
          <w:szCs w:val="18"/>
        </w:rPr>
      </w:pPr>
      <w:r w:rsidRPr="00B80062">
        <w:rPr>
          <w:rStyle w:val="Refdenotaderodap"/>
          <w:rFonts w:ascii="Tahoma" w:hAnsi="Tahoma" w:cs="Tahoma"/>
          <w:sz w:val="18"/>
          <w:szCs w:val="18"/>
        </w:rPr>
        <w:footnoteRef/>
      </w:r>
      <w:r w:rsidRPr="00B80062">
        <w:rPr>
          <w:rFonts w:ascii="Tahoma" w:hAnsi="Tahoma" w:cs="Tahoma"/>
          <w:sz w:val="18"/>
          <w:szCs w:val="18"/>
        </w:rPr>
        <w:t xml:space="preserve"> </w:t>
      </w:r>
      <w:r>
        <w:rPr>
          <w:rFonts w:ascii="Tahoma" w:hAnsi="Tahoma" w:cs="Tahoma"/>
          <w:sz w:val="18"/>
          <w:szCs w:val="18"/>
        </w:rPr>
        <w:t>Por meio da aprovação</w:t>
      </w:r>
      <w:r w:rsidRPr="00F5694A">
        <w:rPr>
          <w:rFonts w:ascii="Tahoma" w:hAnsi="Tahoma" w:cs="Tahoma"/>
          <w:sz w:val="18"/>
          <w:szCs w:val="18"/>
        </w:rPr>
        <w:t xml:space="preserve"> </w:t>
      </w:r>
      <w:r>
        <w:rPr>
          <w:rFonts w:ascii="Tahoma" w:hAnsi="Tahoma" w:cs="Tahoma"/>
          <w:sz w:val="18"/>
          <w:szCs w:val="18"/>
        </w:rPr>
        <w:t>da</w:t>
      </w:r>
      <w:r w:rsidRPr="00F5694A">
        <w:rPr>
          <w:rFonts w:ascii="Tahoma" w:hAnsi="Tahoma" w:cs="Tahoma"/>
          <w:sz w:val="18"/>
          <w:szCs w:val="18"/>
        </w:rPr>
        <w:t xml:space="preserve"> Resolução CNPE nº 15/2017</w:t>
      </w:r>
      <w:r>
        <w:rPr>
          <w:rFonts w:ascii="Tahoma" w:hAnsi="Tahoma" w:cs="Tahoma"/>
          <w:sz w:val="18"/>
          <w:szCs w:val="18"/>
        </w:rPr>
        <w:t xml:space="preserve"> pelo </w:t>
      </w:r>
      <w:r w:rsidRPr="00F5694A">
        <w:rPr>
          <w:rFonts w:ascii="Tahoma" w:hAnsi="Tahoma" w:cs="Tahoma"/>
          <w:sz w:val="18"/>
          <w:szCs w:val="18"/>
        </w:rPr>
        <w:t xml:space="preserve">Conselho Nacional de Política Energética </w:t>
      </w:r>
      <w:r w:rsidRPr="00255B8A">
        <w:rPr>
          <w:rFonts w:ascii="Tahoma" w:hAnsi="Tahoma" w:cs="Tahoma"/>
          <w:sz w:val="18"/>
          <w:szCs w:val="18"/>
        </w:rPr>
        <w:t>(</w:t>
      </w:r>
      <w:r w:rsidRPr="00F5694A">
        <w:rPr>
          <w:rFonts w:ascii="Tahoma" w:hAnsi="Tahoma" w:cs="Tahoma"/>
          <w:sz w:val="18"/>
          <w:szCs w:val="18"/>
        </w:rPr>
        <w:t>CNPE</w:t>
      </w:r>
      <w:r w:rsidRPr="00255B8A">
        <w:rPr>
          <w:rFonts w:ascii="Tahoma" w:hAnsi="Tahoma" w:cs="Tahoma"/>
          <w:sz w:val="18"/>
          <w:szCs w:val="18"/>
        </w:rPr>
        <w:t>)</w:t>
      </w:r>
      <w:r>
        <w:rPr>
          <w:rFonts w:ascii="Tahoma" w:hAnsi="Tahoma" w:cs="Tahoma"/>
          <w:sz w:val="18"/>
          <w:szCs w:val="18"/>
        </w:rPr>
        <w:t>.</w:t>
      </w:r>
    </w:p>
  </w:footnote>
  <w:footnote w:id="17">
    <w:p w14:paraId="63C8AC55" w14:textId="77777777" w:rsidR="00DD477E" w:rsidRPr="00AE7C22" w:rsidRDefault="00DD477E" w:rsidP="00860969">
      <w:pPr>
        <w:snapToGrid w:val="0"/>
        <w:spacing w:after="60"/>
        <w:jc w:val="both"/>
        <w:rPr>
          <w:rFonts w:ascii="Arial" w:eastAsia="Times New Roman" w:hAnsi="Arial" w:cs="Arial"/>
          <w:sz w:val="18"/>
          <w:szCs w:val="18"/>
        </w:rPr>
      </w:pPr>
      <w:r w:rsidRPr="0027728F">
        <w:rPr>
          <w:rStyle w:val="Refdenotaderodap"/>
          <w:rFonts w:ascii="Tahoma" w:hAnsi="Tahoma" w:cs="Tahoma"/>
          <w:sz w:val="18"/>
          <w:szCs w:val="18"/>
        </w:rPr>
        <w:footnoteRef/>
      </w:r>
      <w:r w:rsidRPr="0027728F">
        <w:rPr>
          <w:rFonts w:ascii="Tahoma" w:hAnsi="Tahoma" w:cs="Tahoma"/>
          <w:sz w:val="18"/>
          <w:szCs w:val="18"/>
        </w:rPr>
        <w:t xml:space="preserve"> Disponíveis em: </w:t>
      </w:r>
      <w:hyperlink r:id="rId5" w:history="1">
        <w:r w:rsidRPr="00DC7B90">
          <w:rPr>
            <w:rStyle w:val="Hyperlink"/>
            <w:rFonts w:ascii="Tahoma" w:hAnsi="Tahoma" w:cs="Tahoma"/>
            <w:sz w:val="18"/>
            <w:szCs w:val="18"/>
          </w:rPr>
          <w:t>http://www.mme.gov.br/web/guest/secretarias/petroleo-gas-natural-e-combustiveis-renovaveis/programas/combustivel-brasil/ct-cb</w:t>
        </w:r>
      </w:hyperlink>
      <w:r>
        <w:rPr>
          <w:rFonts w:ascii="Tahoma" w:hAnsi="Tahoma" w:cs="Tahoma"/>
          <w:sz w:val="18"/>
          <w:szCs w:val="18"/>
        </w:rPr>
        <w:t xml:space="preserve">. </w:t>
      </w:r>
    </w:p>
  </w:footnote>
  <w:footnote w:id="18">
    <w:p w14:paraId="6C9B7A75" w14:textId="77777777" w:rsidR="00DD477E" w:rsidRPr="005573AA" w:rsidRDefault="00DD477E" w:rsidP="00332E6C">
      <w:pPr>
        <w:pStyle w:val="Textodenotaderodap"/>
        <w:jc w:val="both"/>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r>
        <w:rPr>
          <w:rFonts w:ascii="Tahoma" w:hAnsi="Tahoma" w:cs="Tahoma"/>
          <w:sz w:val="18"/>
          <w:szCs w:val="18"/>
        </w:rPr>
        <w:t xml:space="preserve">No mesmo sentido, a Proposta nº 23 prevê </w:t>
      </w:r>
      <w:r w:rsidRPr="00D31515">
        <w:rPr>
          <w:rFonts w:ascii="Tahoma" w:hAnsi="Tahoma" w:cs="Tahoma"/>
          <w:sz w:val="18"/>
          <w:szCs w:val="18"/>
        </w:rPr>
        <w:t>“</w:t>
      </w:r>
      <w:r w:rsidRPr="00D31515">
        <w:rPr>
          <w:rFonts w:ascii="Tahoma" w:hAnsi="Tahoma" w:cs="Tahoma"/>
          <w:i/>
          <w:sz w:val="18"/>
          <w:szCs w:val="18"/>
        </w:rPr>
        <w:t>aperfeiçoar a atuação regulatória de modo a evitar cláusulas contratuais potencialmente danosas à concorrência e/ou que afetem a garantia do suprimento de combustíveis, biocombustíveis e demais derivados de petróleo</w:t>
      </w:r>
      <w:r>
        <w:rPr>
          <w:rFonts w:ascii="Tahoma" w:hAnsi="Tahoma" w:cs="Tahoma"/>
          <w:i/>
          <w:sz w:val="18"/>
          <w:szCs w:val="18"/>
        </w:rPr>
        <w:t xml:space="preserve">.” </w:t>
      </w:r>
    </w:p>
  </w:footnote>
  <w:footnote w:id="19">
    <w:p w14:paraId="0E46A8EA" w14:textId="77777777" w:rsidR="00DD477E" w:rsidRPr="00B60F72" w:rsidRDefault="00DD477E" w:rsidP="00E87304">
      <w:pPr>
        <w:pStyle w:val="Textodenotaderodap"/>
        <w:jc w:val="both"/>
        <w:rPr>
          <w:rFonts w:ascii="Tahoma" w:hAnsi="Tahoma" w:cs="Tahoma"/>
          <w:sz w:val="18"/>
          <w:szCs w:val="18"/>
        </w:rPr>
      </w:pPr>
      <w:r w:rsidRPr="00B60F72">
        <w:rPr>
          <w:rStyle w:val="Refdenotaderodap"/>
          <w:rFonts w:ascii="Tahoma" w:hAnsi="Tahoma" w:cs="Tahoma"/>
          <w:sz w:val="18"/>
          <w:szCs w:val="18"/>
        </w:rPr>
        <w:footnoteRef/>
      </w:r>
      <w:r w:rsidRPr="00B60F72">
        <w:rPr>
          <w:rFonts w:ascii="Tahoma" w:hAnsi="Tahoma" w:cs="Tahoma"/>
          <w:sz w:val="18"/>
          <w:szCs w:val="18"/>
        </w:rPr>
        <w:t xml:space="preserve"> A íntegra dos enunciados e recomendações administrativas do </w:t>
      </w:r>
      <w:proofErr w:type="spellStart"/>
      <w:r w:rsidRPr="00B60F72">
        <w:rPr>
          <w:rFonts w:ascii="Tahoma" w:hAnsi="Tahoma" w:cs="Tahoma"/>
          <w:sz w:val="18"/>
          <w:szCs w:val="18"/>
        </w:rPr>
        <w:t>Fonacre</w:t>
      </w:r>
      <w:proofErr w:type="spellEnd"/>
      <w:r w:rsidRPr="00B60F72">
        <w:rPr>
          <w:rFonts w:ascii="Tahoma" w:hAnsi="Tahoma" w:cs="Tahoma"/>
          <w:sz w:val="18"/>
          <w:szCs w:val="18"/>
        </w:rPr>
        <w:t xml:space="preserve"> pode ser acessada por meio do seguinte link: </w:t>
      </w:r>
      <w:hyperlink r:id="rId6" w:history="1">
        <w:r w:rsidRPr="00B60F72">
          <w:rPr>
            <w:rStyle w:val="Hyperlink"/>
            <w:rFonts w:ascii="Tahoma" w:hAnsi="Tahoma" w:cs="Tahoma"/>
            <w:sz w:val="18"/>
            <w:szCs w:val="18"/>
          </w:rPr>
          <w:t>https://www.ajufe.org.br/fonacre</w:t>
        </w:r>
      </w:hyperlink>
      <w:r w:rsidRPr="00B60F72">
        <w:rPr>
          <w:rFonts w:ascii="Tahoma" w:hAnsi="Tahoma" w:cs="Tahoma"/>
          <w:sz w:val="18"/>
          <w:szCs w:val="18"/>
        </w:rPr>
        <w:t xml:space="preserve">. </w:t>
      </w:r>
    </w:p>
  </w:footnote>
  <w:footnote w:id="20">
    <w:p w14:paraId="7500E73F" w14:textId="77777777" w:rsidR="00DD477E" w:rsidRPr="003C0053" w:rsidRDefault="00DD477E" w:rsidP="00C966E1">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Disponível em: </w:t>
      </w:r>
      <w:hyperlink r:id="rId7" w:history="1">
        <w:r w:rsidRPr="003C0053">
          <w:rPr>
            <w:rStyle w:val="Hyperlink"/>
            <w:rFonts w:ascii="Tahoma" w:hAnsi="Tahoma" w:cs="Tahoma"/>
            <w:sz w:val="18"/>
            <w:szCs w:val="18"/>
          </w:rPr>
          <w:t>http://www.cade.gov.br/acesso-a-informacao/publicacoes-institucionais/contribuicoes-do-cade/contribuicoes-do-cade_medidas-28maio2018-final.pdf</w:t>
        </w:r>
      </w:hyperlink>
      <w:r w:rsidRPr="003C0053">
        <w:rPr>
          <w:rFonts w:ascii="Tahoma" w:hAnsi="Tahoma" w:cs="Tahoma"/>
          <w:sz w:val="18"/>
          <w:szCs w:val="18"/>
        </w:rPr>
        <w:t xml:space="preserve">. </w:t>
      </w:r>
    </w:p>
  </w:footnote>
  <w:footnote w:id="21">
    <w:p w14:paraId="3C1D92A0" w14:textId="39B8339D" w:rsidR="00DD477E" w:rsidRPr="005573AA" w:rsidRDefault="00DD477E">
      <w:pPr>
        <w:pStyle w:val="Textodenotaderodap"/>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proofErr w:type="spellStart"/>
      <w:r>
        <w:rPr>
          <w:rFonts w:ascii="Tahoma" w:hAnsi="Tahoma" w:cs="Tahoma"/>
          <w:sz w:val="18"/>
          <w:szCs w:val="18"/>
        </w:rPr>
        <w:t>Cade</w:t>
      </w:r>
      <w:proofErr w:type="spellEnd"/>
      <w:r>
        <w:rPr>
          <w:rFonts w:ascii="Tahoma" w:hAnsi="Tahoma" w:cs="Tahoma"/>
          <w:sz w:val="18"/>
          <w:szCs w:val="18"/>
        </w:rPr>
        <w:t xml:space="preserve"> (2018), p. 22. </w:t>
      </w:r>
    </w:p>
  </w:footnote>
  <w:footnote w:id="22">
    <w:p w14:paraId="697E454E" w14:textId="4A715E5F" w:rsidR="00DD477E" w:rsidRPr="005573AA" w:rsidRDefault="00DD477E" w:rsidP="005573AA">
      <w:pPr>
        <w:pStyle w:val="Textodenotaderodap"/>
        <w:jc w:val="both"/>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r w:rsidRPr="00E70F59">
        <w:rPr>
          <w:rFonts w:ascii="Tahoma" w:hAnsi="Tahoma" w:cs="Tahoma"/>
          <w:sz w:val="18"/>
          <w:szCs w:val="18"/>
        </w:rPr>
        <w:t>Os demais revendedores se dividiam entre postos que tinham contratos de franquia com refinarias (</w:t>
      </w:r>
      <w:proofErr w:type="spellStart"/>
      <w:r w:rsidRPr="00E70F59">
        <w:rPr>
          <w:rFonts w:ascii="Tahoma" w:hAnsi="Tahoma" w:cs="Tahoma"/>
          <w:i/>
          <w:sz w:val="18"/>
          <w:szCs w:val="18"/>
        </w:rPr>
        <w:t>refiner</w:t>
      </w:r>
      <w:proofErr w:type="spellEnd"/>
      <w:r w:rsidRPr="00E70F59">
        <w:rPr>
          <w:rFonts w:ascii="Tahoma" w:hAnsi="Tahoma" w:cs="Tahoma"/>
          <w:i/>
          <w:sz w:val="18"/>
          <w:szCs w:val="18"/>
        </w:rPr>
        <w:t xml:space="preserve"> </w:t>
      </w:r>
      <w:proofErr w:type="spellStart"/>
      <w:r w:rsidRPr="00E70F59">
        <w:rPr>
          <w:rFonts w:ascii="Tahoma" w:hAnsi="Tahoma" w:cs="Tahoma"/>
          <w:i/>
          <w:sz w:val="18"/>
          <w:szCs w:val="18"/>
        </w:rPr>
        <w:t>franchise</w:t>
      </w:r>
      <w:proofErr w:type="spellEnd"/>
      <w:r w:rsidRPr="00E70F59">
        <w:rPr>
          <w:rFonts w:ascii="Tahoma" w:hAnsi="Tahoma" w:cs="Tahoma"/>
          <w:i/>
          <w:sz w:val="18"/>
          <w:szCs w:val="18"/>
        </w:rPr>
        <w:t xml:space="preserve"> </w:t>
      </w:r>
      <w:proofErr w:type="spellStart"/>
      <w:r w:rsidRPr="00E70F59">
        <w:rPr>
          <w:rFonts w:ascii="Tahoma" w:hAnsi="Tahoma" w:cs="Tahoma"/>
          <w:i/>
          <w:sz w:val="18"/>
          <w:szCs w:val="18"/>
        </w:rPr>
        <w:t>operations</w:t>
      </w:r>
      <w:proofErr w:type="spellEnd"/>
      <w:r w:rsidRPr="00E70F59">
        <w:rPr>
          <w:rFonts w:ascii="Tahoma" w:hAnsi="Tahoma" w:cs="Tahoma"/>
          <w:sz w:val="18"/>
          <w:szCs w:val="18"/>
        </w:rPr>
        <w:t>) – que eram a maioria -, contratos de franquia com distribuidores (</w:t>
      </w:r>
      <w:proofErr w:type="spellStart"/>
      <w:r w:rsidRPr="00E70F59">
        <w:rPr>
          <w:rFonts w:ascii="Tahoma" w:hAnsi="Tahoma" w:cs="Tahoma"/>
          <w:i/>
          <w:sz w:val="18"/>
          <w:szCs w:val="18"/>
        </w:rPr>
        <w:t>jobber</w:t>
      </w:r>
      <w:proofErr w:type="spellEnd"/>
      <w:r w:rsidRPr="00E70F59">
        <w:rPr>
          <w:rFonts w:ascii="Tahoma" w:hAnsi="Tahoma" w:cs="Tahoma"/>
          <w:i/>
          <w:sz w:val="18"/>
          <w:szCs w:val="18"/>
        </w:rPr>
        <w:t xml:space="preserve"> </w:t>
      </w:r>
      <w:proofErr w:type="spellStart"/>
      <w:r w:rsidRPr="00E70F59">
        <w:rPr>
          <w:rFonts w:ascii="Tahoma" w:hAnsi="Tahoma" w:cs="Tahoma"/>
          <w:i/>
          <w:sz w:val="18"/>
          <w:szCs w:val="18"/>
        </w:rPr>
        <w:t>franchise</w:t>
      </w:r>
      <w:proofErr w:type="spellEnd"/>
      <w:r w:rsidRPr="00E70F59">
        <w:rPr>
          <w:rFonts w:ascii="Tahoma" w:hAnsi="Tahoma" w:cs="Tahoma"/>
          <w:i/>
          <w:sz w:val="18"/>
          <w:szCs w:val="18"/>
        </w:rPr>
        <w:t xml:space="preserve"> </w:t>
      </w:r>
      <w:proofErr w:type="spellStart"/>
      <w:r w:rsidRPr="00E70F59">
        <w:rPr>
          <w:rFonts w:ascii="Tahoma" w:hAnsi="Tahoma" w:cs="Tahoma"/>
          <w:i/>
          <w:sz w:val="18"/>
          <w:szCs w:val="18"/>
        </w:rPr>
        <w:t>operations</w:t>
      </w:r>
      <w:proofErr w:type="spellEnd"/>
      <w:r w:rsidRPr="00E70F59">
        <w:rPr>
          <w:rFonts w:ascii="Tahoma" w:hAnsi="Tahoma" w:cs="Tahoma"/>
          <w:sz w:val="18"/>
          <w:szCs w:val="18"/>
        </w:rPr>
        <w:t>), contratos estabelecidos com distribuidores via remuneração (</w:t>
      </w:r>
      <w:proofErr w:type="spellStart"/>
      <w:r w:rsidRPr="00E70F59">
        <w:rPr>
          <w:rFonts w:ascii="Tahoma" w:hAnsi="Tahoma" w:cs="Tahoma"/>
          <w:i/>
          <w:sz w:val="18"/>
          <w:szCs w:val="18"/>
        </w:rPr>
        <w:t>jobber</w:t>
      </w:r>
      <w:proofErr w:type="spellEnd"/>
      <w:r w:rsidRPr="00E70F59">
        <w:rPr>
          <w:rFonts w:ascii="Tahoma" w:hAnsi="Tahoma" w:cs="Tahoma"/>
          <w:i/>
          <w:sz w:val="18"/>
          <w:szCs w:val="18"/>
        </w:rPr>
        <w:t xml:space="preserve"> </w:t>
      </w:r>
      <w:proofErr w:type="spellStart"/>
      <w:r w:rsidRPr="00E70F59">
        <w:rPr>
          <w:rFonts w:ascii="Tahoma" w:hAnsi="Tahoma" w:cs="Tahoma"/>
          <w:i/>
          <w:sz w:val="18"/>
          <w:szCs w:val="18"/>
        </w:rPr>
        <w:t>salaried</w:t>
      </w:r>
      <w:proofErr w:type="spellEnd"/>
      <w:r w:rsidRPr="00E70F59">
        <w:rPr>
          <w:rFonts w:ascii="Tahoma" w:hAnsi="Tahoma" w:cs="Tahoma"/>
          <w:i/>
          <w:sz w:val="18"/>
          <w:szCs w:val="18"/>
        </w:rPr>
        <w:t xml:space="preserve"> </w:t>
      </w:r>
      <w:proofErr w:type="spellStart"/>
      <w:r w:rsidRPr="00E70F59">
        <w:rPr>
          <w:rFonts w:ascii="Tahoma" w:hAnsi="Tahoma" w:cs="Tahoma"/>
          <w:i/>
          <w:sz w:val="18"/>
          <w:szCs w:val="18"/>
        </w:rPr>
        <w:t>operations</w:t>
      </w:r>
      <w:proofErr w:type="spellEnd"/>
      <w:r w:rsidRPr="00E70F59">
        <w:rPr>
          <w:rFonts w:ascii="Tahoma" w:hAnsi="Tahoma" w:cs="Tahoma"/>
          <w:i/>
          <w:sz w:val="18"/>
          <w:szCs w:val="18"/>
        </w:rPr>
        <w:t xml:space="preserve">) </w:t>
      </w:r>
      <w:r w:rsidRPr="00E70F59">
        <w:rPr>
          <w:rFonts w:ascii="Tahoma" w:hAnsi="Tahoma" w:cs="Tahoma"/>
          <w:sz w:val="18"/>
          <w:szCs w:val="18"/>
        </w:rPr>
        <w:t>e postos independentes (</w:t>
      </w:r>
      <w:proofErr w:type="spellStart"/>
      <w:r w:rsidRPr="00E70F59">
        <w:rPr>
          <w:rFonts w:ascii="Tahoma" w:hAnsi="Tahoma" w:cs="Tahoma"/>
          <w:i/>
          <w:sz w:val="18"/>
          <w:szCs w:val="18"/>
        </w:rPr>
        <w:t>owner-occupied</w:t>
      </w:r>
      <w:proofErr w:type="spellEnd"/>
      <w:r w:rsidRPr="00E70F59">
        <w:rPr>
          <w:rFonts w:ascii="Tahoma" w:hAnsi="Tahoma" w:cs="Tahoma"/>
          <w:i/>
          <w:sz w:val="18"/>
          <w:szCs w:val="18"/>
        </w:rPr>
        <w:t xml:space="preserve"> </w:t>
      </w:r>
      <w:proofErr w:type="spellStart"/>
      <w:r w:rsidRPr="00E70F59">
        <w:rPr>
          <w:rFonts w:ascii="Tahoma" w:hAnsi="Tahoma" w:cs="Tahoma"/>
          <w:i/>
          <w:sz w:val="18"/>
          <w:szCs w:val="18"/>
        </w:rPr>
        <w:t>stantions</w:t>
      </w:r>
      <w:proofErr w:type="spellEnd"/>
      <w:r w:rsidRPr="00E70F59">
        <w:rPr>
          <w:rFonts w:ascii="Tahoma" w:hAnsi="Tahoma" w:cs="Tahoma"/>
          <w:sz w:val="18"/>
          <w:szCs w:val="18"/>
        </w:rPr>
        <w:t xml:space="preserve">). </w:t>
      </w:r>
    </w:p>
  </w:footnote>
  <w:footnote w:id="23">
    <w:p w14:paraId="493028B7" w14:textId="4F3FE243" w:rsidR="00DD477E" w:rsidRPr="00A00770" w:rsidRDefault="00DD477E" w:rsidP="00985017">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Paulo Furquim de Azevedo (1996, p. 220) define a hierarquia como o “conjunto de transações sob a mesma propriedade (ofertante e demandante são a mesma pessoa jurídica) e sujeitos a controles administrativos geridos por uma estrutura em que há ordem e graduação de autoridade. Pode assumir o significado de integração vertical, definida como o processo pelo qual etapas tecnologicamente distintas e sequenciais reúnem-se em uma hierarquia.” </w:t>
      </w:r>
    </w:p>
  </w:footnote>
  <w:footnote w:id="24">
    <w:p w14:paraId="3F8BB422" w14:textId="38FADA6C" w:rsidR="00DD477E" w:rsidRPr="003C0053" w:rsidRDefault="00DD477E" w:rsidP="003F4A58">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w:t>
      </w:r>
      <w:r w:rsidRPr="00EC29AA">
        <w:rPr>
          <w:rFonts w:ascii="Tahoma" w:hAnsi="Tahoma" w:cs="Tahoma"/>
          <w:sz w:val="18"/>
          <w:szCs w:val="18"/>
        </w:rPr>
        <w:t xml:space="preserve">Sobre o tema, </w:t>
      </w:r>
      <w:r w:rsidRPr="006B53A7">
        <w:rPr>
          <w:rFonts w:ascii="Tahoma" w:hAnsi="Tahoma" w:cs="Tahoma"/>
          <w:sz w:val="18"/>
          <w:szCs w:val="18"/>
        </w:rPr>
        <w:t>Furquim (2010</w:t>
      </w:r>
      <w:r w:rsidRPr="003C0053">
        <w:rPr>
          <w:rFonts w:ascii="Tahoma" w:hAnsi="Tahoma" w:cs="Tahoma"/>
          <w:sz w:val="18"/>
          <w:szCs w:val="18"/>
        </w:rPr>
        <w:t xml:space="preserve">, p. 3) define as relações verticais “como aquelas que englobam processos produtivos complementares, em contraste com relações horizontais, que compreendem processos produtivos substitutos”. Assim, o conceito de relações verticais, mais abrangente do que sua acepção intuitiva, engloba não somente os processos de agregação de valor a uma matéria-prima, mas também a atividades complementares mesmo que não diretamente encadeadas. No limite destas relações, encontra-se a verticalização, situação em que as partes acordam “em transferir todos os direitos de decisão relevantes, incluindo os chamados direitos residuais de controle, o que equivale a transferir a propriedade do negócio e não apenas direitos de decisão especificados contratualmente”. </w:t>
      </w:r>
    </w:p>
  </w:footnote>
  <w:footnote w:id="25">
    <w:p w14:paraId="79B938EE" w14:textId="03CEB15C" w:rsidR="00DD477E" w:rsidRPr="003C0053" w:rsidRDefault="00DD477E" w:rsidP="00792CC9">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Pode-se citar como exemplo hipotético de integração lateral </w:t>
      </w:r>
      <w:r w:rsidRPr="00EC29AA">
        <w:rPr>
          <w:rFonts w:ascii="Tahoma" w:hAnsi="Tahoma" w:cs="Tahoma"/>
          <w:sz w:val="18"/>
          <w:szCs w:val="18"/>
        </w:rPr>
        <w:t>uma empresa que, ao mesmo tempo, produz óleos básicos e aditivos para lubrificantes, que são os</w:t>
      </w:r>
      <w:r w:rsidRPr="006B53A7">
        <w:rPr>
          <w:rFonts w:ascii="Tahoma" w:hAnsi="Tahoma" w:cs="Tahoma"/>
          <w:sz w:val="18"/>
          <w:szCs w:val="18"/>
        </w:rPr>
        <w:t xml:space="preserve"> dois insumos principais para a produção de óleos lubrificantes acabados. </w:t>
      </w:r>
    </w:p>
  </w:footnote>
  <w:footnote w:id="26">
    <w:p w14:paraId="2B93A6AE" w14:textId="77777777" w:rsidR="00DD477E" w:rsidRPr="00E40CDB" w:rsidRDefault="00DD477E" w:rsidP="00B7432F">
      <w:pPr>
        <w:pStyle w:val="Textodenotaderodap"/>
        <w:jc w:val="both"/>
        <w:rPr>
          <w:lang w:val="en-US"/>
        </w:rPr>
      </w:pPr>
      <w:r>
        <w:rPr>
          <w:rStyle w:val="Refdenotaderodap"/>
        </w:rPr>
        <w:footnoteRef/>
      </w:r>
      <w:r w:rsidRPr="00E40CDB">
        <w:rPr>
          <w:lang w:val="en-US"/>
        </w:rPr>
        <w:t xml:space="preserve"> </w:t>
      </w:r>
      <w:r w:rsidRPr="00E40CDB">
        <w:rPr>
          <w:rFonts w:ascii="Tahoma" w:hAnsi="Tahoma" w:cs="Tahoma"/>
          <w:sz w:val="18"/>
          <w:lang w:val="en-US"/>
        </w:rPr>
        <w:t xml:space="preserve">OECD. </w:t>
      </w:r>
      <w:r w:rsidRPr="00E40CDB">
        <w:rPr>
          <w:rFonts w:ascii="Tahoma" w:hAnsi="Tahoma" w:cs="Tahoma"/>
          <w:i/>
          <w:sz w:val="18"/>
          <w:lang w:val="en-US"/>
        </w:rPr>
        <w:t>Competition in Road Fuel,</w:t>
      </w:r>
      <w:r>
        <w:rPr>
          <w:rFonts w:ascii="Tahoma" w:hAnsi="Tahoma" w:cs="Tahoma"/>
          <w:sz w:val="18"/>
          <w:lang w:val="en-US"/>
        </w:rPr>
        <w:t xml:space="preserve"> </w:t>
      </w:r>
      <w:r w:rsidRPr="00E40CDB">
        <w:rPr>
          <w:rFonts w:ascii="Tahoma" w:hAnsi="Tahoma" w:cs="Tahoma"/>
          <w:sz w:val="18"/>
          <w:lang w:val="en-US"/>
        </w:rPr>
        <w:t>2013</w:t>
      </w:r>
      <w:r>
        <w:rPr>
          <w:rFonts w:ascii="Tahoma" w:hAnsi="Tahoma" w:cs="Tahoma"/>
          <w:sz w:val="18"/>
          <w:lang w:val="en-US"/>
        </w:rPr>
        <w:t xml:space="preserve">, </w:t>
      </w:r>
      <w:proofErr w:type="spellStart"/>
      <w:r w:rsidRPr="00E40CDB">
        <w:rPr>
          <w:rFonts w:ascii="Tahoma" w:hAnsi="Tahoma" w:cs="Tahoma"/>
          <w:sz w:val="18"/>
          <w:szCs w:val="18"/>
          <w:lang w:val="en-US"/>
        </w:rPr>
        <w:t>disponível</w:t>
      </w:r>
      <w:proofErr w:type="spellEnd"/>
      <w:r w:rsidRPr="00E40CDB">
        <w:rPr>
          <w:rFonts w:ascii="Tahoma" w:hAnsi="Tahoma" w:cs="Tahoma"/>
          <w:sz w:val="18"/>
          <w:szCs w:val="18"/>
          <w:lang w:val="en-US"/>
        </w:rPr>
        <w:t xml:space="preserve"> </w:t>
      </w:r>
      <w:proofErr w:type="spellStart"/>
      <w:r w:rsidRPr="00E40CDB">
        <w:rPr>
          <w:rFonts w:ascii="Tahoma" w:hAnsi="Tahoma" w:cs="Tahoma"/>
          <w:sz w:val="18"/>
          <w:szCs w:val="18"/>
          <w:lang w:val="en-US"/>
        </w:rPr>
        <w:t>em</w:t>
      </w:r>
      <w:proofErr w:type="spellEnd"/>
      <w:r w:rsidRPr="00E40CDB">
        <w:rPr>
          <w:rFonts w:ascii="Tahoma" w:hAnsi="Tahoma" w:cs="Tahoma"/>
          <w:sz w:val="18"/>
          <w:szCs w:val="18"/>
          <w:lang w:val="en-US"/>
        </w:rPr>
        <w:t>:</w:t>
      </w:r>
      <w:r>
        <w:rPr>
          <w:rFonts w:ascii="Tahoma" w:hAnsi="Tahoma" w:cs="Tahoma"/>
          <w:sz w:val="18"/>
          <w:szCs w:val="18"/>
          <w:lang w:val="en-US"/>
        </w:rPr>
        <w:t xml:space="preserve"> </w:t>
      </w:r>
      <w:r w:rsidRPr="00E40CDB">
        <w:rPr>
          <w:rFonts w:ascii="Tahoma" w:hAnsi="Tahoma" w:cs="Tahoma"/>
          <w:sz w:val="18"/>
          <w:szCs w:val="18"/>
          <w:lang w:val="en-US"/>
        </w:rPr>
        <w:t xml:space="preserve"> </w:t>
      </w:r>
      <w:hyperlink r:id="rId8" w:history="1">
        <w:r w:rsidRPr="00E40CDB">
          <w:rPr>
            <w:rStyle w:val="Hyperlink"/>
            <w:rFonts w:ascii="Tahoma" w:hAnsi="Tahoma" w:cs="Tahoma"/>
            <w:sz w:val="18"/>
            <w:szCs w:val="18"/>
            <w:lang w:val="en-US"/>
          </w:rPr>
          <w:t>https://www.oecd.org/competition/CompetitionInRoadFuel.pdf</w:t>
        </w:r>
      </w:hyperlink>
      <w:r>
        <w:rPr>
          <w:rFonts w:ascii="Tahoma" w:hAnsi="Tahoma" w:cs="Tahoma"/>
          <w:sz w:val="18"/>
          <w:lang w:val="en-US"/>
        </w:rPr>
        <w:t>.</w:t>
      </w:r>
    </w:p>
  </w:footnote>
  <w:footnote w:id="27">
    <w:p w14:paraId="25EBA536" w14:textId="7697C776" w:rsidR="00DD477E" w:rsidRPr="003C0053" w:rsidRDefault="00DD477E" w:rsidP="00094F74">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Parecer analítico sobre Regras Regulatórias nº 110/COGUN/COGEN/SEAE/MF, de 14 de maio de 2013, que </w:t>
      </w:r>
      <w:r w:rsidRPr="00EC29AA">
        <w:rPr>
          <w:rFonts w:ascii="Tahoma" w:hAnsi="Tahoma" w:cs="Tahoma"/>
          <w:sz w:val="18"/>
          <w:szCs w:val="18"/>
        </w:rPr>
        <w:t xml:space="preserve">apresentou </w:t>
      </w:r>
      <w:r w:rsidRPr="003C0053">
        <w:rPr>
          <w:rFonts w:ascii="Tahoma" w:hAnsi="Tahoma" w:cs="Tahoma"/>
          <w:sz w:val="18"/>
          <w:szCs w:val="18"/>
        </w:rPr>
        <w:t xml:space="preserve">considerações concorrenciais sobre a vedação à integração vertical no mercado brasileiro de combustíveis líquidos. O Parecer foi apresentado no âmbito da Consulta Pública ANP nº 08/2013, que propôs os requisitos necessários à autorização para o exercício da atividade de revenda varejista de combustíveis automotivos. </w:t>
      </w:r>
    </w:p>
  </w:footnote>
  <w:footnote w:id="28">
    <w:p w14:paraId="1A05504C" w14:textId="316E29D4" w:rsidR="00DD477E" w:rsidRPr="003C0053" w:rsidRDefault="00DD477E" w:rsidP="00655B0B">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Voto do Conselheiro Relator Carlos </w:t>
      </w:r>
      <w:proofErr w:type="spellStart"/>
      <w:r w:rsidRPr="003C0053">
        <w:rPr>
          <w:rFonts w:ascii="Tahoma" w:hAnsi="Tahoma" w:cs="Tahoma"/>
          <w:sz w:val="18"/>
          <w:szCs w:val="18"/>
        </w:rPr>
        <w:t>Emannuel</w:t>
      </w:r>
      <w:proofErr w:type="spellEnd"/>
      <w:r w:rsidRPr="003C0053">
        <w:rPr>
          <w:rFonts w:ascii="Tahoma" w:hAnsi="Tahoma" w:cs="Tahoma"/>
          <w:sz w:val="18"/>
          <w:szCs w:val="18"/>
        </w:rPr>
        <w:t xml:space="preserve"> Joppert Ragazzo no Processo Administrativo </w:t>
      </w:r>
      <w:r w:rsidRPr="00EC29AA">
        <w:rPr>
          <w:rFonts w:ascii="Tahoma" w:hAnsi="Tahoma" w:cs="Tahoma"/>
          <w:sz w:val="18"/>
          <w:szCs w:val="18"/>
        </w:rPr>
        <w:t>08012.00554</w:t>
      </w:r>
      <w:r w:rsidRPr="003C0053">
        <w:rPr>
          <w:rFonts w:ascii="Tahoma" w:hAnsi="Tahoma" w:cs="Tahoma"/>
          <w:sz w:val="18"/>
          <w:szCs w:val="18"/>
        </w:rPr>
        <w:t xml:space="preserve">5/1999-16, envolvendo denúncia do Procon de Blumenau (SC) e da Assembleia Legislativa do Estado contra postos revendedores e sindicado por formação de cartel, julgado no ano de 2010. </w:t>
      </w:r>
    </w:p>
  </w:footnote>
  <w:footnote w:id="29">
    <w:p w14:paraId="31A03D3C" w14:textId="54A13A50" w:rsidR="00DD477E" w:rsidRPr="005573AA" w:rsidRDefault="00DD477E" w:rsidP="009B039A">
      <w:pPr>
        <w:pStyle w:val="Textodenotaderodap"/>
        <w:jc w:val="both"/>
        <w:rPr>
          <w:rFonts w:ascii="Tahoma" w:hAnsi="Tahoma" w:cs="Tahoma"/>
          <w:i/>
          <w:sz w:val="18"/>
          <w:szCs w:val="18"/>
        </w:rPr>
      </w:pPr>
      <w:r w:rsidRPr="003C0053">
        <w:rPr>
          <w:rStyle w:val="Refdenotaderodap"/>
          <w:rFonts w:ascii="Tahoma" w:hAnsi="Tahoma" w:cs="Tahoma"/>
          <w:sz w:val="18"/>
          <w:szCs w:val="18"/>
        </w:rPr>
        <w:footnoteRef/>
      </w:r>
      <w:r w:rsidRPr="005573AA">
        <w:rPr>
          <w:rFonts w:ascii="Tahoma" w:hAnsi="Tahoma" w:cs="Tahoma"/>
          <w:sz w:val="18"/>
          <w:szCs w:val="18"/>
        </w:rPr>
        <w:t xml:space="preserve"> Es</w:t>
      </w:r>
      <w:r>
        <w:rPr>
          <w:rFonts w:ascii="Tahoma" w:hAnsi="Tahoma" w:cs="Tahoma"/>
          <w:sz w:val="18"/>
          <w:szCs w:val="18"/>
        </w:rPr>
        <w:t>s</w:t>
      </w:r>
      <w:r w:rsidRPr="005573AA">
        <w:rPr>
          <w:rFonts w:ascii="Tahoma" w:hAnsi="Tahoma" w:cs="Tahoma"/>
          <w:sz w:val="18"/>
          <w:szCs w:val="18"/>
        </w:rPr>
        <w:t>as preocupações também foram apontadas pela FTC, que indicou que,</w:t>
      </w:r>
      <w:r>
        <w:rPr>
          <w:rFonts w:ascii="Tahoma" w:hAnsi="Tahoma" w:cs="Tahoma"/>
          <w:sz w:val="18"/>
          <w:szCs w:val="18"/>
        </w:rPr>
        <w:t xml:space="preserve"> “</w:t>
      </w:r>
      <w:r>
        <w:rPr>
          <w:rFonts w:ascii="Tahoma" w:hAnsi="Tahoma" w:cs="Tahoma"/>
          <w:i/>
          <w:sz w:val="18"/>
          <w:szCs w:val="18"/>
        </w:rPr>
        <w:t xml:space="preserve">apesar de haver indícios de que a integração vertical pode frequentemente </w:t>
      </w:r>
      <w:r w:rsidRPr="000E7E2B">
        <w:rPr>
          <w:rFonts w:ascii="Tahoma" w:hAnsi="Tahoma" w:cs="Tahoma"/>
          <w:i/>
          <w:sz w:val="18"/>
          <w:szCs w:val="18"/>
        </w:rPr>
        <w:t xml:space="preserve">apresentar </w:t>
      </w:r>
      <w:r w:rsidRPr="00757153">
        <w:rPr>
          <w:rFonts w:ascii="Tahoma" w:hAnsi="Tahoma" w:cs="Tahoma"/>
          <w:i/>
          <w:sz w:val="18"/>
          <w:szCs w:val="18"/>
        </w:rPr>
        <w:t xml:space="preserve">efeitos pró-competitivos, em alguns casos ela pode reduzir a concorrência e prejudicar os consumidores. </w:t>
      </w:r>
      <w:r w:rsidRPr="005573AA">
        <w:rPr>
          <w:rFonts w:ascii="Tahoma" w:hAnsi="Tahoma" w:cs="Tahoma"/>
          <w:i/>
          <w:sz w:val="18"/>
          <w:szCs w:val="18"/>
        </w:rPr>
        <w:t>Geralmente, os e</w:t>
      </w:r>
      <w:r w:rsidRPr="000E7E2B">
        <w:rPr>
          <w:rFonts w:ascii="Tahoma" w:hAnsi="Tahoma" w:cs="Tahoma"/>
          <w:i/>
          <w:sz w:val="18"/>
          <w:szCs w:val="18"/>
        </w:rPr>
        <w:t>conomistas rec</w:t>
      </w:r>
      <w:r w:rsidRPr="00757153">
        <w:rPr>
          <w:rFonts w:ascii="Tahoma" w:hAnsi="Tahoma" w:cs="Tahoma"/>
          <w:i/>
          <w:sz w:val="18"/>
          <w:szCs w:val="18"/>
        </w:rPr>
        <w:t>o</w:t>
      </w:r>
      <w:r w:rsidRPr="005573AA">
        <w:rPr>
          <w:rFonts w:ascii="Tahoma" w:hAnsi="Tahoma" w:cs="Tahoma"/>
          <w:i/>
          <w:sz w:val="18"/>
          <w:szCs w:val="18"/>
        </w:rPr>
        <w:t>nhecem quatro maneiras pelas quais a i</w:t>
      </w:r>
      <w:r>
        <w:rPr>
          <w:rFonts w:ascii="Tahoma" w:hAnsi="Tahoma" w:cs="Tahoma"/>
          <w:i/>
          <w:sz w:val="18"/>
          <w:szCs w:val="18"/>
        </w:rPr>
        <w:t xml:space="preserve">ntegração vertical pode prejudicar os consumidores, </w:t>
      </w:r>
      <w:r w:rsidRPr="00B014A5">
        <w:rPr>
          <w:rFonts w:ascii="Tahoma" w:hAnsi="Tahoma" w:cs="Tahoma"/>
          <w:i/>
          <w:sz w:val="18"/>
          <w:szCs w:val="18"/>
          <w:lang w:val="pt-PT"/>
        </w:rPr>
        <w:t xml:space="preserve">permitindo que as empresas: (1) aumentem os custos de seus concorrentes; (2) </w:t>
      </w:r>
      <w:r>
        <w:rPr>
          <w:rFonts w:ascii="Tahoma" w:hAnsi="Tahoma" w:cs="Tahoma"/>
          <w:i/>
          <w:sz w:val="18"/>
          <w:szCs w:val="18"/>
          <w:lang w:val="pt-PT"/>
        </w:rPr>
        <w:t>evadam</w:t>
      </w:r>
      <w:r w:rsidRPr="00B014A5">
        <w:rPr>
          <w:rFonts w:ascii="Tahoma" w:hAnsi="Tahoma" w:cs="Tahoma"/>
          <w:i/>
          <w:sz w:val="18"/>
          <w:szCs w:val="18"/>
          <w:lang w:val="pt-PT"/>
        </w:rPr>
        <w:t xml:space="preserve"> a regulação de preços; (3) facilit</w:t>
      </w:r>
      <w:r>
        <w:rPr>
          <w:rFonts w:ascii="Tahoma" w:hAnsi="Tahoma" w:cs="Tahoma"/>
          <w:i/>
          <w:sz w:val="18"/>
          <w:szCs w:val="18"/>
          <w:lang w:val="pt-PT"/>
        </w:rPr>
        <w:t>em</w:t>
      </w:r>
      <w:r w:rsidRPr="00B014A5">
        <w:rPr>
          <w:rFonts w:ascii="Tahoma" w:hAnsi="Tahoma" w:cs="Tahoma"/>
          <w:i/>
          <w:sz w:val="18"/>
          <w:szCs w:val="18"/>
          <w:lang w:val="pt-PT"/>
        </w:rPr>
        <w:t xml:space="preserve"> a coordenação anticoncorrencial; e (4) dificult</w:t>
      </w:r>
      <w:r>
        <w:rPr>
          <w:rFonts w:ascii="Tahoma" w:hAnsi="Tahoma" w:cs="Tahoma"/>
          <w:i/>
          <w:sz w:val="18"/>
          <w:szCs w:val="18"/>
          <w:lang w:val="pt-PT"/>
        </w:rPr>
        <w:t>em</w:t>
      </w:r>
      <w:r w:rsidRPr="00B014A5">
        <w:rPr>
          <w:rFonts w:ascii="Tahoma" w:hAnsi="Tahoma" w:cs="Tahoma"/>
          <w:i/>
          <w:sz w:val="18"/>
          <w:szCs w:val="18"/>
          <w:lang w:val="pt-PT"/>
        </w:rPr>
        <w:t xml:space="preserve"> a entrada</w:t>
      </w:r>
      <w:r>
        <w:rPr>
          <w:rFonts w:ascii="Tahoma" w:hAnsi="Tahoma" w:cs="Tahoma"/>
          <w:i/>
          <w:sz w:val="18"/>
          <w:szCs w:val="18"/>
          <w:lang w:val="pt-PT"/>
        </w:rPr>
        <w:t xml:space="preserve"> de empresas no mercado”</w:t>
      </w:r>
      <w:r w:rsidRPr="005573AA">
        <w:rPr>
          <w:rFonts w:ascii="Tahoma" w:hAnsi="Tahoma" w:cs="Tahoma"/>
          <w:sz w:val="18"/>
          <w:szCs w:val="18"/>
        </w:rPr>
        <w:t xml:space="preserve"> (Federal Trade </w:t>
      </w:r>
      <w:proofErr w:type="spellStart"/>
      <w:r w:rsidRPr="005573AA">
        <w:rPr>
          <w:rFonts w:ascii="Tahoma" w:hAnsi="Tahoma" w:cs="Tahoma"/>
          <w:sz w:val="18"/>
          <w:szCs w:val="18"/>
        </w:rPr>
        <w:t>Commission</w:t>
      </w:r>
      <w:proofErr w:type="spellEnd"/>
      <w:r w:rsidRPr="005573AA">
        <w:rPr>
          <w:rFonts w:ascii="Tahoma" w:hAnsi="Tahoma" w:cs="Tahoma"/>
          <w:sz w:val="18"/>
          <w:szCs w:val="18"/>
        </w:rPr>
        <w:t xml:space="preserve">. </w:t>
      </w:r>
      <w:r w:rsidRPr="003C0053">
        <w:rPr>
          <w:rFonts w:ascii="Tahoma" w:hAnsi="Tahoma" w:cs="Tahoma"/>
          <w:sz w:val="18"/>
          <w:szCs w:val="18"/>
          <w:lang w:val="en-US"/>
        </w:rPr>
        <w:t xml:space="preserve">Gasoline Price Changes: the dynamic of supply, demand and competition. </w:t>
      </w:r>
      <w:r w:rsidRPr="003C0053">
        <w:rPr>
          <w:rFonts w:ascii="Tahoma" w:hAnsi="Tahoma" w:cs="Tahoma"/>
          <w:sz w:val="18"/>
          <w:szCs w:val="18"/>
        </w:rPr>
        <w:t>2005, p. 121-123</w:t>
      </w:r>
      <w:r>
        <w:rPr>
          <w:rFonts w:ascii="Tahoma" w:hAnsi="Tahoma" w:cs="Tahoma"/>
          <w:sz w:val="18"/>
          <w:szCs w:val="18"/>
        </w:rPr>
        <w:t>, tradução livre</w:t>
      </w:r>
      <w:r w:rsidRPr="003C0053">
        <w:rPr>
          <w:rFonts w:ascii="Tahoma" w:hAnsi="Tahoma" w:cs="Tahoma"/>
          <w:sz w:val="18"/>
          <w:szCs w:val="18"/>
        </w:rPr>
        <w:t xml:space="preserve">, disponível em: </w:t>
      </w:r>
      <w:hyperlink r:id="rId9" w:history="1">
        <w:r w:rsidRPr="003C0053">
          <w:rPr>
            <w:rStyle w:val="Hyperlink"/>
            <w:rFonts w:ascii="Tahoma" w:hAnsi="Tahoma" w:cs="Tahoma"/>
            <w:sz w:val="18"/>
            <w:szCs w:val="18"/>
          </w:rPr>
          <w:t>https://www.ftc.gov/sites/default/files/documents/reports/gasoline-price-changes-dynamic-supply-demand-and-competition-federal-trade-commission-report-2005/050705gaspricesrpt.pdf</w:t>
        </w:r>
      </w:hyperlink>
      <w:r w:rsidRPr="003C0053">
        <w:rPr>
          <w:rFonts w:ascii="Tahoma" w:hAnsi="Tahoma" w:cs="Tahoma"/>
          <w:sz w:val="18"/>
          <w:szCs w:val="18"/>
        </w:rPr>
        <w:t>.</w:t>
      </w:r>
    </w:p>
  </w:footnote>
  <w:footnote w:id="30">
    <w:p w14:paraId="7DA7A15C" w14:textId="566FCB49" w:rsidR="00DD477E" w:rsidRPr="000237B0" w:rsidRDefault="00DD477E" w:rsidP="009B039A">
      <w:pPr>
        <w:pStyle w:val="Textodenotaderodap"/>
        <w:jc w:val="both"/>
        <w:rPr>
          <w:rFonts w:ascii="Tahoma" w:hAnsi="Tahoma" w:cs="Tahoma"/>
          <w:sz w:val="18"/>
          <w:szCs w:val="18"/>
        </w:rPr>
      </w:pPr>
      <w:r w:rsidRPr="000237B0">
        <w:rPr>
          <w:rStyle w:val="Refdenotaderodap"/>
          <w:rFonts w:ascii="Tahoma" w:hAnsi="Tahoma" w:cs="Tahoma"/>
          <w:sz w:val="18"/>
          <w:szCs w:val="18"/>
        </w:rPr>
        <w:footnoteRef/>
      </w:r>
      <w:r w:rsidRPr="000237B0">
        <w:rPr>
          <w:rFonts w:ascii="Tahoma" w:hAnsi="Tahoma" w:cs="Tahoma"/>
          <w:sz w:val="18"/>
          <w:szCs w:val="18"/>
        </w:rPr>
        <w:t xml:space="preserve"> Nota Técnica Conjunta nº 003/2016-CDC-SAB-Assessorial DIR (2016).</w:t>
      </w:r>
    </w:p>
  </w:footnote>
  <w:footnote w:id="31">
    <w:p w14:paraId="4BDEC961" w14:textId="28BDC4C8" w:rsidR="00DD477E" w:rsidRPr="003C0053" w:rsidRDefault="00DD477E" w:rsidP="009B039A">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Conferir documento publicado pela OCDE em 2013, intitulado “</w:t>
      </w:r>
      <w:proofErr w:type="spellStart"/>
      <w:r w:rsidRPr="003C0053">
        <w:rPr>
          <w:rFonts w:ascii="Tahoma" w:hAnsi="Tahoma" w:cs="Tahoma"/>
          <w:i/>
          <w:sz w:val="18"/>
          <w:szCs w:val="18"/>
        </w:rPr>
        <w:t>Competition</w:t>
      </w:r>
      <w:proofErr w:type="spellEnd"/>
      <w:r w:rsidRPr="003C0053">
        <w:rPr>
          <w:rFonts w:ascii="Tahoma" w:hAnsi="Tahoma" w:cs="Tahoma"/>
          <w:i/>
          <w:sz w:val="18"/>
          <w:szCs w:val="18"/>
        </w:rPr>
        <w:t xml:space="preserve"> in Road </w:t>
      </w:r>
      <w:proofErr w:type="spellStart"/>
      <w:r w:rsidRPr="003C0053">
        <w:rPr>
          <w:rFonts w:ascii="Tahoma" w:hAnsi="Tahoma" w:cs="Tahoma"/>
          <w:i/>
          <w:sz w:val="18"/>
          <w:szCs w:val="18"/>
        </w:rPr>
        <w:t>Fuel</w:t>
      </w:r>
      <w:proofErr w:type="spellEnd"/>
      <w:r w:rsidRPr="003C0053">
        <w:rPr>
          <w:rFonts w:ascii="Tahoma" w:hAnsi="Tahoma" w:cs="Tahoma"/>
          <w:i/>
          <w:sz w:val="18"/>
          <w:szCs w:val="18"/>
        </w:rPr>
        <w:t>”</w:t>
      </w:r>
      <w:r w:rsidRPr="003C0053">
        <w:rPr>
          <w:rFonts w:ascii="Tahoma" w:hAnsi="Tahoma" w:cs="Tahoma"/>
          <w:sz w:val="18"/>
          <w:szCs w:val="18"/>
        </w:rPr>
        <w:t xml:space="preserve">, disponível em: </w:t>
      </w:r>
      <w:hyperlink r:id="rId10" w:history="1">
        <w:r w:rsidRPr="003C0053">
          <w:rPr>
            <w:rStyle w:val="Hyperlink"/>
            <w:rFonts w:ascii="Tahoma" w:hAnsi="Tahoma" w:cs="Tahoma"/>
            <w:sz w:val="18"/>
            <w:szCs w:val="18"/>
          </w:rPr>
          <w:t>https://www.oecd.org/competition/CompetitionInRoadFuel.pdf</w:t>
        </w:r>
      </w:hyperlink>
      <w:r w:rsidRPr="003C0053">
        <w:rPr>
          <w:rFonts w:ascii="Tahoma" w:hAnsi="Tahoma" w:cs="Tahoma"/>
          <w:sz w:val="18"/>
          <w:szCs w:val="18"/>
        </w:rPr>
        <w:t xml:space="preserve">. </w:t>
      </w:r>
    </w:p>
  </w:footnote>
  <w:footnote w:id="32">
    <w:p w14:paraId="1031B68B" w14:textId="64F552D1" w:rsidR="00DD477E" w:rsidRPr="00AC7E69" w:rsidRDefault="00DD477E" w:rsidP="005573AA">
      <w:pPr>
        <w:pStyle w:val="Textodenotaderodap"/>
        <w:jc w:val="both"/>
      </w:pPr>
      <w:r>
        <w:rPr>
          <w:rStyle w:val="Refdenotaderodap"/>
        </w:rPr>
        <w:footnoteRef/>
      </w:r>
      <w:r>
        <w:t xml:space="preserve"> </w:t>
      </w:r>
      <w:r w:rsidRPr="005573AA">
        <w:rPr>
          <w:rFonts w:ascii="Tahoma" w:hAnsi="Tahoma" w:cs="Tahoma"/>
        </w:rPr>
        <w:t xml:space="preserve">CADE. </w:t>
      </w:r>
      <w:r w:rsidRPr="005573AA">
        <w:rPr>
          <w:rFonts w:ascii="Tahoma" w:hAnsi="Tahoma" w:cs="Tahoma"/>
          <w:sz w:val="18"/>
        </w:rPr>
        <w:t>Repensando o setor de combustíveis: medidas pró-concorrênci</w:t>
      </w:r>
      <w:r>
        <w:rPr>
          <w:rFonts w:ascii="Tahoma" w:hAnsi="Tahoma" w:cs="Tahoma"/>
          <w:sz w:val="18"/>
        </w:rPr>
        <w:t xml:space="preserve">a, maio de 2018, disponível em: </w:t>
      </w:r>
      <w:hyperlink r:id="rId11" w:history="1">
        <w:r w:rsidRPr="00AC7E69">
          <w:rPr>
            <w:rStyle w:val="Hyperlink"/>
            <w:rFonts w:ascii="Tahoma" w:hAnsi="Tahoma" w:cs="Tahoma"/>
            <w:sz w:val="18"/>
          </w:rPr>
          <w:t>http://www.cade.gov.br/acesso-a-informacao/publicacoes-institucionais/contribuicoes-do-cade/contribuicoes-do-cade_medidas-28maio2018-final.pdf</w:t>
        </w:r>
      </w:hyperlink>
      <w:r w:rsidRPr="00AC7E69">
        <w:rPr>
          <w:rFonts w:ascii="Tahoma" w:hAnsi="Tahoma" w:cs="Tahoma"/>
          <w:sz w:val="18"/>
        </w:rPr>
        <w:t>.</w:t>
      </w:r>
    </w:p>
  </w:footnote>
  <w:footnote w:id="33">
    <w:p w14:paraId="0E89BA91" w14:textId="0F5A6200" w:rsidR="00DD477E" w:rsidRPr="00E61137" w:rsidRDefault="00DD477E" w:rsidP="009469BB">
      <w:pPr>
        <w:pStyle w:val="Textodenotaderodap"/>
        <w:jc w:val="both"/>
        <w:rPr>
          <w:rFonts w:ascii="Tahoma" w:hAnsi="Tahoma" w:cs="Tahoma"/>
          <w:sz w:val="18"/>
          <w:szCs w:val="18"/>
          <w:lang w:val="en-US"/>
        </w:rPr>
      </w:pPr>
      <w:r w:rsidRPr="00E61137">
        <w:rPr>
          <w:rStyle w:val="Refdenotaderodap"/>
          <w:rFonts w:ascii="Tahoma" w:hAnsi="Tahoma" w:cs="Tahoma"/>
          <w:sz w:val="18"/>
          <w:szCs w:val="18"/>
        </w:rPr>
        <w:footnoteRef/>
      </w:r>
      <w:r w:rsidRPr="007E579D">
        <w:rPr>
          <w:rFonts w:ascii="Tahoma" w:hAnsi="Tahoma" w:cs="Tahoma"/>
          <w:sz w:val="18"/>
          <w:szCs w:val="18"/>
          <w:lang w:val="en-US"/>
        </w:rPr>
        <w:t xml:space="preserve"> </w:t>
      </w:r>
      <w:bookmarkStart w:id="1" w:name="_Hlk529175591"/>
      <w:r w:rsidRPr="007E579D">
        <w:rPr>
          <w:rFonts w:ascii="Tahoma" w:hAnsi="Tahoma" w:cs="Tahoma"/>
          <w:sz w:val="18"/>
          <w:szCs w:val="18"/>
          <w:lang w:val="en-US"/>
        </w:rPr>
        <w:t xml:space="preserve">OECD (2008). </w:t>
      </w:r>
      <w:r w:rsidRPr="00E61137">
        <w:rPr>
          <w:rFonts w:ascii="Tahoma" w:hAnsi="Tahoma" w:cs="Tahoma"/>
          <w:i/>
          <w:sz w:val="18"/>
          <w:szCs w:val="18"/>
          <w:lang w:val="en-US"/>
        </w:rPr>
        <w:t>Competition policy for vertical relations in gasoline retailing</w:t>
      </w:r>
      <w:r w:rsidRPr="00E61137">
        <w:rPr>
          <w:rFonts w:ascii="Tahoma" w:hAnsi="Tahoma" w:cs="Tahoma"/>
          <w:sz w:val="18"/>
          <w:szCs w:val="18"/>
          <w:lang w:val="en-US"/>
        </w:rPr>
        <w:t xml:space="preserve">, p. 8, </w:t>
      </w:r>
      <w:proofErr w:type="spellStart"/>
      <w:r w:rsidRPr="00E61137">
        <w:rPr>
          <w:rFonts w:ascii="Tahoma" w:hAnsi="Tahoma" w:cs="Tahoma"/>
          <w:sz w:val="18"/>
          <w:szCs w:val="18"/>
          <w:lang w:val="en-US"/>
        </w:rPr>
        <w:t>disponível</w:t>
      </w:r>
      <w:proofErr w:type="spellEnd"/>
      <w:r w:rsidRPr="00E61137">
        <w:rPr>
          <w:rFonts w:ascii="Tahoma" w:hAnsi="Tahoma" w:cs="Tahoma"/>
          <w:sz w:val="18"/>
          <w:szCs w:val="18"/>
          <w:lang w:val="en-US"/>
        </w:rPr>
        <w:t xml:space="preserve"> </w:t>
      </w:r>
      <w:proofErr w:type="spellStart"/>
      <w:r w:rsidRPr="00E61137">
        <w:rPr>
          <w:rFonts w:ascii="Tahoma" w:hAnsi="Tahoma" w:cs="Tahoma"/>
          <w:sz w:val="18"/>
          <w:szCs w:val="18"/>
          <w:lang w:val="en-US"/>
        </w:rPr>
        <w:t>em</w:t>
      </w:r>
      <w:proofErr w:type="spellEnd"/>
      <w:r w:rsidRPr="00E61137">
        <w:rPr>
          <w:rFonts w:ascii="Tahoma" w:hAnsi="Tahoma" w:cs="Tahoma"/>
          <w:sz w:val="18"/>
          <w:szCs w:val="18"/>
          <w:lang w:val="en-US"/>
        </w:rPr>
        <w:t xml:space="preserve">: </w:t>
      </w:r>
      <w:hyperlink r:id="rId12" w:history="1">
        <w:r w:rsidRPr="00E61137">
          <w:rPr>
            <w:rStyle w:val="Hyperlink"/>
            <w:rFonts w:ascii="Tahoma" w:hAnsi="Tahoma" w:cs="Tahoma"/>
            <w:sz w:val="18"/>
            <w:szCs w:val="18"/>
            <w:lang w:val="en-US"/>
          </w:rPr>
          <w:t>http://www.oecd.org/competition/abuse/43040511.pdf</w:t>
        </w:r>
      </w:hyperlink>
      <w:r w:rsidRPr="00E61137">
        <w:rPr>
          <w:rFonts w:ascii="Tahoma" w:hAnsi="Tahoma" w:cs="Tahoma"/>
          <w:sz w:val="18"/>
          <w:szCs w:val="18"/>
          <w:lang w:val="en-US"/>
        </w:rPr>
        <w:t xml:space="preserve">. </w:t>
      </w:r>
      <w:bookmarkEnd w:id="1"/>
    </w:p>
  </w:footnote>
  <w:footnote w:id="34">
    <w:p w14:paraId="35F8A75D" w14:textId="65F0E5CD" w:rsidR="00DD477E" w:rsidRPr="00E61137" w:rsidRDefault="00DD477E" w:rsidP="00F33CF0">
      <w:pPr>
        <w:pStyle w:val="Textodenotaderodap"/>
        <w:jc w:val="both"/>
        <w:rPr>
          <w:rFonts w:ascii="Tahoma" w:hAnsi="Tahoma" w:cs="Tahoma"/>
          <w:sz w:val="18"/>
          <w:szCs w:val="18"/>
        </w:rPr>
      </w:pPr>
      <w:r w:rsidRPr="00E61137">
        <w:rPr>
          <w:rStyle w:val="Refdenotaderodap"/>
          <w:rFonts w:ascii="Tahoma" w:hAnsi="Tahoma" w:cs="Tahoma"/>
          <w:sz w:val="18"/>
          <w:szCs w:val="18"/>
        </w:rPr>
        <w:footnoteRef/>
      </w:r>
      <w:r w:rsidRPr="00E61137">
        <w:rPr>
          <w:rFonts w:ascii="Tahoma" w:hAnsi="Tahoma" w:cs="Tahoma"/>
          <w:sz w:val="18"/>
          <w:szCs w:val="18"/>
        </w:rPr>
        <w:t xml:space="preserve"> Como apontado por Carlos Ragazzo (2010), na Austrália, o </w:t>
      </w:r>
      <w:proofErr w:type="spellStart"/>
      <w:r w:rsidRPr="00E61137">
        <w:rPr>
          <w:rFonts w:ascii="Tahoma" w:hAnsi="Tahoma" w:cs="Tahoma"/>
          <w:i/>
          <w:sz w:val="18"/>
          <w:szCs w:val="18"/>
        </w:rPr>
        <w:t>Petroleum</w:t>
      </w:r>
      <w:proofErr w:type="spellEnd"/>
      <w:r w:rsidRPr="00E61137">
        <w:rPr>
          <w:rFonts w:ascii="Tahoma" w:hAnsi="Tahoma" w:cs="Tahoma"/>
          <w:i/>
          <w:sz w:val="18"/>
          <w:szCs w:val="18"/>
        </w:rPr>
        <w:t xml:space="preserve"> </w:t>
      </w:r>
      <w:proofErr w:type="spellStart"/>
      <w:r w:rsidRPr="00E61137">
        <w:rPr>
          <w:rFonts w:ascii="Tahoma" w:hAnsi="Tahoma" w:cs="Tahoma"/>
          <w:i/>
          <w:sz w:val="18"/>
          <w:szCs w:val="18"/>
        </w:rPr>
        <w:t>Retail</w:t>
      </w:r>
      <w:proofErr w:type="spellEnd"/>
      <w:r w:rsidRPr="00E61137">
        <w:rPr>
          <w:rFonts w:ascii="Tahoma" w:hAnsi="Tahoma" w:cs="Tahoma"/>
          <w:i/>
          <w:sz w:val="18"/>
          <w:szCs w:val="18"/>
        </w:rPr>
        <w:t xml:space="preserve"> Marketing </w:t>
      </w:r>
      <w:proofErr w:type="spellStart"/>
      <w:r w:rsidRPr="00E61137">
        <w:rPr>
          <w:rFonts w:ascii="Tahoma" w:hAnsi="Tahoma" w:cs="Tahoma"/>
          <w:i/>
          <w:sz w:val="18"/>
          <w:szCs w:val="18"/>
        </w:rPr>
        <w:t>Franchise</w:t>
      </w:r>
      <w:proofErr w:type="spellEnd"/>
      <w:r w:rsidRPr="00E61137">
        <w:rPr>
          <w:rFonts w:ascii="Tahoma" w:hAnsi="Tahoma" w:cs="Tahoma"/>
          <w:i/>
          <w:sz w:val="18"/>
          <w:szCs w:val="18"/>
        </w:rPr>
        <w:t xml:space="preserve"> </w:t>
      </w:r>
      <w:proofErr w:type="spellStart"/>
      <w:r w:rsidRPr="00E61137">
        <w:rPr>
          <w:rFonts w:ascii="Tahoma" w:hAnsi="Tahoma" w:cs="Tahoma"/>
          <w:i/>
          <w:sz w:val="18"/>
          <w:szCs w:val="18"/>
        </w:rPr>
        <w:t>Act</w:t>
      </w:r>
      <w:proofErr w:type="spellEnd"/>
      <w:r w:rsidRPr="00E61137">
        <w:rPr>
          <w:rFonts w:ascii="Tahoma" w:hAnsi="Tahoma" w:cs="Tahoma"/>
          <w:sz w:val="18"/>
          <w:szCs w:val="18"/>
        </w:rPr>
        <w:t xml:space="preserve"> (1980) regula os contratos de franquia com o objetivo de equilibrar a relação entre franqueador e franqueado. O diploma legal proíbe a discriminação entre revendedores franqueados e revendedores de propriedade dos refinadores, obriga a disponibilização de informações essenciais aos potenciais franqueados e estabelece regras para assegurar o não rompimento do contrato por certo período, dentre outras previsões.</w:t>
      </w:r>
    </w:p>
  </w:footnote>
  <w:footnote w:id="35">
    <w:p w14:paraId="48F84824" w14:textId="7695E467" w:rsidR="00DD477E" w:rsidRPr="005573AA" w:rsidRDefault="00DD477E">
      <w:pPr>
        <w:pStyle w:val="Textodenotaderodap"/>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r w:rsidRPr="009135F2">
        <w:rPr>
          <w:rFonts w:ascii="Tahoma" w:hAnsi="Tahoma" w:cs="Tahoma"/>
          <w:sz w:val="18"/>
          <w:szCs w:val="18"/>
        </w:rPr>
        <w:t>OCDE (2008), p. 167.</w:t>
      </w:r>
    </w:p>
  </w:footnote>
  <w:footnote w:id="36">
    <w:p w14:paraId="6FA354F1" w14:textId="60B31DEC" w:rsidR="00DD477E" w:rsidRPr="005573AA" w:rsidRDefault="00DD477E" w:rsidP="005573AA">
      <w:pPr>
        <w:pStyle w:val="Textodenotaderodap"/>
        <w:jc w:val="both"/>
        <w:rPr>
          <w:rFonts w:ascii="Tahoma" w:hAnsi="Tahoma" w:cs="Tahoma"/>
          <w:sz w:val="18"/>
          <w:szCs w:val="18"/>
          <w:lang w:val="en-US"/>
        </w:rPr>
      </w:pPr>
      <w:r w:rsidRPr="005573AA">
        <w:rPr>
          <w:rStyle w:val="Refdenotaderodap"/>
          <w:rFonts w:ascii="Tahoma" w:hAnsi="Tahoma" w:cs="Tahoma"/>
          <w:sz w:val="18"/>
          <w:szCs w:val="18"/>
        </w:rPr>
        <w:footnoteRef/>
      </w:r>
      <w:r w:rsidRPr="005573AA">
        <w:rPr>
          <w:rFonts w:ascii="Tahoma" w:hAnsi="Tahoma" w:cs="Tahoma"/>
          <w:sz w:val="18"/>
          <w:szCs w:val="18"/>
        </w:rPr>
        <w:t xml:space="preserve"> </w:t>
      </w:r>
      <w:r>
        <w:rPr>
          <w:rFonts w:ascii="Tahoma" w:hAnsi="Tahoma" w:cs="Tahoma"/>
          <w:sz w:val="18"/>
          <w:szCs w:val="18"/>
        </w:rPr>
        <w:t xml:space="preserve">O aumento deste tipo de posto parece ser uma tendência na Austrália. </w:t>
      </w:r>
      <w:r w:rsidRPr="005573AA">
        <w:rPr>
          <w:rFonts w:ascii="Tahoma" w:hAnsi="Tahoma" w:cs="Tahoma"/>
          <w:sz w:val="18"/>
          <w:szCs w:val="18"/>
          <w:lang w:val="en-US"/>
        </w:rPr>
        <w:t xml:space="preserve">Cf. </w:t>
      </w:r>
      <w:hyperlink r:id="rId13" w:history="1">
        <w:r w:rsidRPr="005573AA">
          <w:rPr>
            <w:rStyle w:val="Hyperlink"/>
            <w:lang w:val="en-US"/>
          </w:rPr>
          <w:t>https://www.mtaa.com.au/images/Fuel_Retailing_in_Australia.pdf</w:t>
        </w:r>
      </w:hyperlink>
      <w:r>
        <w:rPr>
          <w:rFonts w:ascii="Tahoma" w:hAnsi="Tahoma" w:cs="Tahoma"/>
          <w:sz w:val="18"/>
          <w:szCs w:val="18"/>
          <w:lang w:val="en-US"/>
        </w:rPr>
        <w:t xml:space="preserve">. </w:t>
      </w:r>
    </w:p>
  </w:footnote>
  <w:footnote w:id="37">
    <w:p w14:paraId="534E244D" w14:textId="02A4F967" w:rsidR="00DD477E" w:rsidRPr="005573AA" w:rsidRDefault="00DD477E">
      <w:pPr>
        <w:pStyle w:val="Textodenotaderodap"/>
        <w:rPr>
          <w:rFonts w:ascii="Tahoma" w:hAnsi="Tahoma" w:cs="Tahoma"/>
          <w:sz w:val="18"/>
          <w:szCs w:val="18"/>
          <w:lang w:val="en-US"/>
        </w:rPr>
      </w:pPr>
      <w:r w:rsidRPr="005573AA">
        <w:rPr>
          <w:rStyle w:val="Refdenotaderodap"/>
          <w:rFonts w:ascii="Tahoma" w:hAnsi="Tahoma" w:cs="Tahoma"/>
          <w:sz w:val="18"/>
          <w:szCs w:val="18"/>
        </w:rPr>
        <w:footnoteRef/>
      </w:r>
      <w:r w:rsidRPr="005573AA">
        <w:rPr>
          <w:rFonts w:ascii="Tahoma" w:hAnsi="Tahoma" w:cs="Tahoma"/>
          <w:sz w:val="18"/>
          <w:szCs w:val="18"/>
          <w:lang w:val="en-US"/>
        </w:rPr>
        <w:t xml:space="preserve"> OCDE (2008), p. 81.</w:t>
      </w:r>
    </w:p>
  </w:footnote>
  <w:footnote w:id="38">
    <w:p w14:paraId="52444DF2" w14:textId="77777777" w:rsidR="00DD477E" w:rsidRPr="003C0053" w:rsidRDefault="00DD477E" w:rsidP="008679E7">
      <w:pPr>
        <w:pStyle w:val="Textodenotaderodap"/>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Fonte: ANO/</w:t>
      </w:r>
      <w:proofErr w:type="spellStart"/>
      <w:r w:rsidRPr="003C0053">
        <w:rPr>
          <w:rFonts w:ascii="Tahoma" w:hAnsi="Tahoma" w:cs="Tahoma"/>
          <w:sz w:val="18"/>
          <w:szCs w:val="18"/>
        </w:rPr>
        <w:t>Esalq</w:t>
      </w:r>
      <w:proofErr w:type="spellEnd"/>
      <w:r w:rsidRPr="003C0053">
        <w:rPr>
          <w:rFonts w:ascii="Tahoma" w:hAnsi="Tahoma" w:cs="Tahoma"/>
          <w:sz w:val="18"/>
          <w:szCs w:val="18"/>
        </w:rPr>
        <w:t xml:space="preserve"> (CEPEA)/</w:t>
      </w:r>
      <w:proofErr w:type="spellStart"/>
      <w:r w:rsidRPr="003C0053">
        <w:rPr>
          <w:rFonts w:ascii="Tahoma" w:hAnsi="Tahoma" w:cs="Tahoma"/>
          <w:sz w:val="18"/>
          <w:szCs w:val="18"/>
        </w:rPr>
        <w:t>Cotepe</w:t>
      </w:r>
      <w:proofErr w:type="spellEnd"/>
      <w:r w:rsidRPr="003C0053">
        <w:rPr>
          <w:rFonts w:ascii="Tahoma" w:hAnsi="Tahoma" w:cs="Tahoma"/>
          <w:sz w:val="18"/>
          <w:szCs w:val="18"/>
        </w:rPr>
        <w:t xml:space="preserve"> – Média Brasil. </w:t>
      </w:r>
    </w:p>
  </w:footnote>
  <w:footnote w:id="39">
    <w:p w14:paraId="216F273D" w14:textId="77777777" w:rsidR="00DD477E" w:rsidRPr="00C36C25" w:rsidRDefault="00DD477E" w:rsidP="008679E7">
      <w:pPr>
        <w:pStyle w:val="Textodenotaderodap"/>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Fonte: ANO/</w:t>
      </w:r>
      <w:proofErr w:type="spellStart"/>
      <w:r w:rsidRPr="003C0053">
        <w:rPr>
          <w:rFonts w:ascii="Tahoma" w:hAnsi="Tahoma" w:cs="Tahoma"/>
          <w:sz w:val="18"/>
          <w:szCs w:val="18"/>
        </w:rPr>
        <w:t>Esalq</w:t>
      </w:r>
      <w:proofErr w:type="spellEnd"/>
      <w:r w:rsidRPr="003C0053">
        <w:rPr>
          <w:rFonts w:ascii="Tahoma" w:hAnsi="Tahoma" w:cs="Tahoma"/>
          <w:sz w:val="18"/>
          <w:szCs w:val="18"/>
        </w:rPr>
        <w:t xml:space="preserve"> (CEPEA)/</w:t>
      </w:r>
      <w:proofErr w:type="spellStart"/>
      <w:r w:rsidRPr="003C0053">
        <w:rPr>
          <w:rFonts w:ascii="Tahoma" w:hAnsi="Tahoma" w:cs="Tahoma"/>
          <w:sz w:val="18"/>
          <w:szCs w:val="18"/>
        </w:rPr>
        <w:t>Cotepe</w:t>
      </w:r>
      <w:proofErr w:type="spellEnd"/>
      <w:r w:rsidRPr="003C0053">
        <w:rPr>
          <w:rFonts w:ascii="Tahoma" w:hAnsi="Tahoma" w:cs="Tahoma"/>
          <w:sz w:val="18"/>
          <w:szCs w:val="18"/>
        </w:rPr>
        <w:t xml:space="preserve"> – Média Brasil.</w:t>
      </w:r>
    </w:p>
  </w:footnote>
  <w:footnote w:id="40">
    <w:p w14:paraId="2D41D1E2" w14:textId="78A10AFB" w:rsidR="006D6062" w:rsidRPr="003C0053" w:rsidRDefault="006D6062" w:rsidP="006D6062">
      <w:pPr>
        <w:pStyle w:val="Textodenotaderodap"/>
        <w:jc w:val="both"/>
        <w:rPr>
          <w:rFonts w:ascii="Tahoma" w:hAnsi="Tahoma" w:cs="Tahoma"/>
          <w:sz w:val="18"/>
          <w:szCs w:val="18"/>
        </w:rPr>
      </w:pPr>
      <w:r>
        <w:rPr>
          <w:rStyle w:val="Refdenotaderodap"/>
        </w:rPr>
        <w:footnoteRef/>
      </w:r>
      <w:r>
        <w:t xml:space="preserve"> </w:t>
      </w:r>
      <w:r w:rsidRPr="003C0053">
        <w:rPr>
          <w:rFonts w:ascii="Tahoma" w:hAnsi="Tahoma" w:cs="Tahoma"/>
          <w:sz w:val="18"/>
          <w:szCs w:val="18"/>
        </w:rPr>
        <w:t xml:space="preserve">Dados de agosto de 2018, disponível em </w:t>
      </w:r>
      <w:hyperlink r:id="rId14" w:history="1">
        <w:r w:rsidRPr="003C0053">
          <w:rPr>
            <w:rStyle w:val="Hyperlink"/>
            <w:rFonts w:ascii="Tahoma" w:hAnsi="Tahoma" w:cs="Tahoma"/>
            <w:sz w:val="18"/>
            <w:szCs w:val="18"/>
          </w:rPr>
          <w:t>http://www.fecombustiveis.org.br/revendedor/tributacao/</w:t>
        </w:r>
      </w:hyperlink>
      <w:r w:rsidRPr="003C0053">
        <w:rPr>
          <w:rFonts w:ascii="Tahoma" w:hAnsi="Tahoma" w:cs="Tahoma"/>
          <w:sz w:val="18"/>
          <w:szCs w:val="18"/>
        </w:rPr>
        <w:t xml:space="preserve"> (último acesso em 15 de agosto de 2018). </w:t>
      </w:r>
    </w:p>
    <w:p w14:paraId="6C4EF063" w14:textId="7484FF44" w:rsidR="006D6062" w:rsidRDefault="006D6062">
      <w:pPr>
        <w:pStyle w:val="Textodenotaderodap"/>
      </w:pPr>
    </w:p>
  </w:footnote>
  <w:footnote w:id="41">
    <w:p w14:paraId="6583C66A" w14:textId="5D5AE3C2" w:rsidR="00DD477E" w:rsidRPr="00C36C25" w:rsidRDefault="00DD477E" w:rsidP="0042663D">
      <w:pPr>
        <w:pStyle w:val="Textodenotaderodap"/>
        <w:jc w:val="both"/>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w:t>
      </w:r>
      <w:r>
        <w:rPr>
          <w:rFonts w:ascii="Tahoma" w:hAnsi="Tahoma" w:cs="Tahoma"/>
          <w:sz w:val="18"/>
          <w:szCs w:val="18"/>
        </w:rPr>
        <w:t xml:space="preserve">Fonte: Procedimento Preparatório </w:t>
      </w:r>
      <w:r w:rsidRPr="00BF69CA">
        <w:rPr>
          <w:rFonts w:ascii="Tahoma" w:hAnsi="Tahoma" w:cs="Tahoma"/>
          <w:sz w:val="18"/>
          <w:szCs w:val="18"/>
        </w:rPr>
        <w:t xml:space="preserve">nº </w:t>
      </w:r>
      <w:r w:rsidRPr="0042663D">
        <w:rPr>
          <w:rFonts w:ascii="Tahoma" w:hAnsi="Tahoma" w:cs="Tahoma"/>
          <w:bCs/>
          <w:sz w:val="18"/>
          <w:szCs w:val="18"/>
        </w:rPr>
        <w:t>08700.002532/2018-33</w:t>
      </w:r>
      <w:r>
        <w:rPr>
          <w:rFonts w:ascii="Tahoma" w:hAnsi="Tahoma" w:cs="Tahoma"/>
          <w:bCs/>
          <w:sz w:val="18"/>
          <w:szCs w:val="18"/>
        </w:rPr>
        <w:t xml:space="preserve">, em trâmite no âmbito do </w:t>
      </w:r>
      <w:proofErr w:type="spellStart"/>
      <w:r>
        <w:rPr>
          <w:rFonts w:ascii="Tahoma" w:hAnsi="Tahoma" w:cs="Tahoma"/>
          <w:bCs/>
          <w:sz w:val="18"/>
          <w:szCs w:val="18"/>
        </w:rPr>
        <w:t>Cade</w:t>
      </w:r>
      <w:proofErr w:type="spellEnd"/>
      <w:r>
        <w:rPr>
          <w:rFonts w:ascii="Tahoma" w:hAnsi="Tahoma" w:cs="Tahoma"/>
          <w:sz w:val="18"/>
          <w:szCs w:val="18"/>
        </w:rPr>
        <w:t xml:space="preserve">. Elaboração LCA. O Quadro apresenta a composição média do preço do etanol hidratado no estado do Rio de Janeiro para o mês de dezembro de 2016. </w:t>
      </w:r>
    </w:p>
  </w:footnote>
  <w:footnote w:id="42">
    <w:p w14:paraId="40411F55" w14:textId="77777777" w:rsidR="00DD477E" w:rsidRPr="003C0053" w:rsidRDefault="00DD477E" w:rsidP="008679E7">
      <w:pPr>
        <w:pStyle w:val="Textodenotaderodap"/>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Nota Técnica Conjunta nº 003/2016-CDC-SAB-Assessorial DIR (2016).</w:t>
      </w:r>
    </w:p>
  </w:footnote>
  <w:footnote w:id="43">
    <w:p w14:paraId="4F09CD40" w14:textId="77777777" w:rsidR="00DD477E" w:rsidRDefault="00DD477E" w:rsidP="000A0EE6">
      <w:pPr>
        <w:pStyle w:val="Textodenotaderodap"/>
      </w:pPr>
      <w:r w:rsidRPr="00E40CDB">
        <w:rPr>
          <w:rStyle w:val="Refdenotaderodap"/>
          <w:rFonts w:ascii="Tahoma" w:hAnsi="Tahoma" w:cs="Tahoma"/>
          <w:sz w:val="18"/>
          <w:szCs w:val="18"/>
        </w:rPr>
        <w:footnoteRef/>
      </w:r>
      <w:r w:rsidRPr="00E40CDB">
        <w:rPr>
          <w:rFonts w:ascii="Tahoma" w:hAnsi="Tahoma" w:cs="Tahoma"/>
          <w:sz w:val="18"/>
          <w:szCs w:val="18"/>
        </w:rPr>
        <w:t xml:space="preserve"> Art. 18</w:t>
      </w:r>
      <w:r>
        <w:rPr>
          <w:rFonts w:ascii="Tahoma" w:hAnsi="Tahoma" w:cs="Tahoma"/>
          <w:sz w:val="18"/>
          <w:szCs w:val="18"/>
        </w:rPr>
        <w:t xml:space="preserve">º da Resolução ANP nº 16/2010. </w:t>
      </w:r>
    </w:p>
  </w:footnote>
  <w:footnote w:id="44">
    <w:p w14:paraId="06025AC8" w14:textId="77777777" w:rsidR="00DD477E" w:rsidRPr="00E40CDB" w:rsidRDefault="00DD477E" w:rsidP="000A0EE6">
      <w:pPr>
        <w:pStyle w:val="Textodenotaderodap"/>
        <w:rPr>
          <w:rFonts w:ascii="Tahoma" w:hAnsi="Tahoma" w:cs="Tahoma"/>
          <w:sz w:val="18"/>
          <w:szCs w:val="18"/>
        </w:rPr>
      </w:pPr>
      <w:r w:rsidRPr="00E40CDB">
        <w:rPr>
          <w:rStyle w:val="Refdenotaderodap"/>
          <w:rFonts w:ascii="Tahoma" w:hAnsi="Tahoma" w:cs="Tahoma"/>
          <w:sz w:val="18"/>
          <w:szCs w:val="18"/>
        </w:rPr>
        <w:footnoteRef/>
      </w:r>
      <w:r w:rsidRPr="00E40CDB">
        <w:rPr>
          <w:rFonts w:ascii="Tahoma" w:hAnsi="Tahoma" w:cs="Tahoma"/>
          <w:sz w:val="18"/>
          <w:szCs w:val="18"/>
        </w:rPr>
        <w:t xml:space="preserve"> </w:t>
      </w:r>
      <w:r>
        <w:rPr>
          <w:rFonts w:ascii="Tahoma" w:hAnsi="Tahoma" w:cs="Tahoma"/>
          <w:sz w:val="18"/>
          <w:szCs w:val="18"/>
        </w:rPr>
        <w:t xml:space="preserve">Art. 4º, parágrafo 2º, da Resolução ANP nº 314/2001. </w:t>
      </w:r>
    </w:p>
  </w:footnote>
  <w:footnote w:id="45">
    <w:p w14:paraId="1B3466F7" w14:textId="21597C05" w:rsidR="00DD477E" w:rsidRPr="00E40CDB" w:rsidRDefault="00DD477E" w:rsidP="00A5236D">
      <w:pPr>
        <w:pStyle w:val="Textodenotaderodap"/>
        <w:jc w:val="both"/>
        <w:rPr>
          <w:rFonts w:ascii="Tahoma" w:hAnsi="Tahoma" w:cs="Tahoma"/>
          <w:sz w:val="18"/>
          <w:szCs w:val="18"/>
        </w:rPr>
      </w:pPr>
      <w:r w:rsidRPr="00E40CDB">
        <w:rPr>
          <w:rStyle w:val="Refdenotaderodap"/>
          <w:rFonts w:ascii="Tahoma" w:hAnsi="Tahoma" w:cs="Tahoma"/>
          <w:sz w:val="18"/>
          <w:szCs w:val="18"/>
        </w:rPr>
        <w:footnoteRef/>
      </w:r>
      <w:r w:rsidRPr="00E40CDB">
        <w:rPr>
          <w:rFonts w:ascii="Tahoma" w:hAnsi="Tahoma" w:cs="Tahoma"/>
          <w:sz w:val="18"/>
          <w:szCs w:val="18"/>
        </w:rPr>
        <w:t xml:space="preserve"> </w:t>
      </w:r>
      <w:r>
        <w:rPr>
          <w:rFonts w:ascii="Tahoma" w:hAnsi="Tahoma" w:cs="Tahoma"/>
          <w:sz w:val="18"/>
          <w:szCs w:val="18"/>
        </w:rPr>
        <w:t>Conferir a</w:t>
      </w:r>
      <w:r w:rsidRPr="0003211E">
        <w:rPr>
          <w:rFonts w:ascii="Tahoma" w:hAnsi="Tahoma" w:cs="Tahoma"/>
          <w:sz w:val="18"/>
          <w:szCs w:val="18"/>
        </w:rPr>
        <w:t>presentação da Diretoria da ANP, “</w:t>
      </w:r>
      <w:r w:rsidRPr="0003211E">
        <w:rPr>
          <w:rFonts w:ascii="Tahoma" w:hAnsi="Tahoma" w:cs="Tahoma"/>
          <w:i/>
          <w:sz w:val="18"/>
          <w:szCs w:val="18"/>
        </w:rPr>
        <w:t>O Refino no Brasil: cenário atual, oportunidades e ações para criação de um mercado aberto, dinâmico e competitivo”</w:t>
      </w:r>
      <w:r w:rsidRPr="0003211E">
        <w:rPr>
          <w:rFonts w:ascii="Tahoma" w:hAnsi="Tahoma" w:cs="Tahoma"/>
          <w:sz w:val="18"/>
          <w:szCs w:val="18"/>
        </w:rPr>
        <w:t xml:space="preserve">, de abril de 2018, disponível em: </w:t>
      </w:r>
      <w:hyperlink r:id="rId15" w:history="1">
        <w:r w:rsidRPr="0003211E">
          <w:rPr>
            <w:rStyle w:val="Hyperlink"/>
            <w:rFonts w:ascii="Tahoma" w:hAnsi="Tahoma" w:cs="Tahoma"/>
            <w:sz w:val="18"/>
            <w:szCs w:val="18"/>
          </w:rPr>
          <w:t>http://www.anp.gov.br/images/Palestras/DecioOddone_19-04-2018-FGV.pdf</w:t>
        </w:r>
      </w:hyperlink>
      <w:r>
        <w:rPr>
          <w:rFonts w:ascii="Tahoma" w:hAnsi="Tahoma" w:cs="Tahoma"/>
          <w:sz w:val="18"/>
          <w:szCs w:val="18"/>
        </w:rPr>
        <w:t xml:space="preserve">). </w:t>
      </w:r>
    </w:p>
  </w:footnote>
  <w:footnote w:id="46">
    <w:p w14:paraId="3CE77F7F" w14:textId="12803B43" w:rsidR="00DD477E" w:rsidRPr="005573AA" w:rsidRDefault="00DD477E" w:rsidP="005573AA">
      <w:pPr>
        <w:pStyle w:val="Textodenotaderodap"/>
        <w:jc w:val="both"/>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w:t>
      </w:r>
      <w:proofErr w:type="spellStart"/>
      <w:r>
        <w:rPr>
          <w:rFonts w:ascii="Tahoma" w:hAnsi="Tahoma" w:cs="Tahoma"/>
          <w:sz w:val="18"/>
          <w:szCs w:val="18"/>
        </w:rPr>
        <w:t>Cade</w:t>
      </w:r>
      <w:proofErr w:type="spellEnd"/>
      <w:r>
        <w:rPr>
          <w:rFonts w:ascii="Tahoma" w:hAnsi="Tahoma" w:cs="Tahoma"/>
          <w:sz w:val="18"/>
          <w:szCs w:val="18"/>
        </w:rPr>
        <w:t xml:space="preserve"> (2017). </w:t>
      </w:r>
      <w:r w:rsidRPr="005573AA">
        <w:rPr>
          <w:rFonts w:ascii="Tahoma" w:hAnsi="Tahoma" w:cs="Tahoma"/>
          <w:sz w:val="18"/>
          <w:szCs w:val="18"/>
        </w:rPr>
        <w:t>O ambiente concorrencial no setor do refino de petróleo e distribuição de combustíveis líquidos</w:t>
      </w:r>
      <w:r>
        <w:rPr>
          <w:rFonts w:ascii="Tahoma" w:hAnsi="Tahoma" w:cs="Tahoma"/>
          <w:sz w:val="18"/>
          <w:szCs w:val="18"/>
        </w:rPr>
        <w:t xml:space="preserve">. Disponível em: </w:t>
      </w:r>
      <w:hyperlink r:id="rId16" w:history="1">
        <w:r w:rsidRPr="001D6C8A">
          <w:rPr>
            <w:rStyle w:val="Hyperlink"/>
            <w:rFonts w:ascii="Tahoma" w:hAnsi="Tahoma" w:cs="Tahoma"/>
            <w:sz w:val="18"/>
            <w:szCs w:val="18"/>
          </w:rPr>
          <w:t>http://www.cade.gov.br/acesso-a-informacao/publicacoes-institucionais/contribuicoes-do-cade/o-ambiente-concorrencial-no-setor-de-refino.pdf/view</w:t>
        </w:r>
      </w:hyperlink>
      <w:r>
        <w:rPr>
          <w:rFonts w:ascii="Tahoma" w:hAnsi="Tahoma" w:cs="Tahoma"/>
          <w:sz w:val="18"/>
          <w:szCs w:val="18"/>
        </w:rPr>
        <w:t xml:space="preserve">. </w:t>
      </w:r>
    </w:p>
  </w:footnote>
  <w:footnote w:id="47">
    <w:p w14:paraId="5D2B7096" w14:textId="3DB1AB9A" w:rsidR="00333EFB" w:rsidRDefault="00333EFB" w:rsidP="001D3924">
      <w:pPr>
        <w:pStyle w:val="Textodenotaderodap"/>
        <w:jc w:val="both"/>
      </w:pPr>
      <w:r>
        <w:rPr>
          <w:rStyle w:val="Refdenotaderodap"/>
        </w:rPr>
        <w:footnoteRef/>
      </w:r>
      <w:r w:rsidR="001D3924">
        <w:t xml:space="preserve"> A segmentação das atividades de petróleo, gás natural e biocombustíveis. </w:t>
      </w:r>
      <w:proofErr w:type="gramStart"/>
      <w:r w:rsidR="001D3924">
        <w:t>injuridicidades</w:t>
      </w:r>
      <w:proofErr w:type="gramEnd"/>
      <w:r w:rsidR="001D3924">
        <w:t xml:space="preserve"> das tentativas de sua relativização. Rio de janeiro. Outubro de 2018</w:t>
      </w:r>
    </w:p>
  </w:footnote>
  <w:footnote w:id="48">
    <w:p w14:paraId="27B616D7" w14:textId="7873F68B" w:rsidR="008F4FAA" w:rsidRDefault="008F4FAA" w:rsidP="001D3924">
      <w:pPr>
        <w:pStyle w:val="Textodenotaderodap"/>
        <w:jc w:val="both"/>
      </w:pPr>
      <w:r>
        <w:rPr>
          <w:rStyle w:val="Refdenotaderodap"/>
        </w:rPr>
        <w:footnoteRef/>
      </w:r>
      <w:r>
        <w:t xml:space="preserve"> O que não parece ser, nem de longe, o caso, tendo em vista as considerações havidas na </w:t>
      </w:r>
      <w:r w:rsidRPr="008F4FAA">
        <w:t>Nota Técnica Conjunta 001/2018/SDL-SDR</w:t>
      </w:r>
      <w:r>
        <w:t>.</w:t>
      </w:r>
    </w:p>
  </w:footnote>
  <w:footnote w:id="49">
    <w:p w14:paraId="1BDB475D" w14:textId="77777777" w:rsidR="00DD477E" w:rsidRPr="005573AA" w:rsidRDefault="00DD477E" w:rsidP="00BC04CA">
      <w:pPr>
        <w:pStyle w:val="Textodenotaderodap"/>
        <w:jc w:val="both"/>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É o entendimento a que se chega através da leitura das manifestações de agentes do segmento Audiência Pública nº 02/2007 da ANP que discutia “resolução para definir o grande consumidor, bem como regras de comercialização de distribuidoras e transportadores-revendedores-retalhistas”.</w:t>
      </w:r>
    </w:p>
  </w:footnote>
  <w:footnote w:id="50">
    <w:p w14:paraId="27E71FD6" w14:textId="77777777" w:rsidR="00DD477E" w:rsidRPr="005573AA" w:rsidRDefault="00DD477E" w:rsidP="00BC04CA">
      <w:pPr>
        <w:pStyle w:val="Textodenotaderodap"/>
        <w:jc w:val="both"/>
        <w:rPr>
          <w:rFonts w:ascii="Tahoma" w:hAnsi="Tahoma" w:cs="Tahoma"/>
          <w:sz w:val="18"/>
          <w:szCs w:val="18"/>
        </w:rPr>
      </w:pPr>
      <w:r w:rsidRPr="005573AA">
        <w:rPr>
          <w:rStyle w:val="Refdenotaderodap"/>
          <w:rFonts w:ascii="Tahoma" w:hAnsi="Tahoma" w:cs="Tahoma"/>
          <w:sz w:val="18"/>
          <w:szCs w:val="18"/>
        </w:rPr>
        <w:footnoteRef/>
      </w:r>
      <w:r w:rsidRPr="005573AA">
        <w:rPr>
          <w:rFonts w:ascii="Tahoma" w:hAnsi="Tahoma" w:cs="Tahoma"/>
          <w:sz w:val="18"/>
          <w:szCs w:val="18"/>
        </w:rPr>
        <w:t xml:space="preserve"> Resolução ANP nº 34, em seu art. 2º, II, define esses entes como ‘grandes consumidores’, classe de consumidor que também pode ser atendida por distribuidoras, conforme inc. IV do art. 3º da mesma Resolução. </w:t>
      </w:r>
    </w:p>
  </w:footnote>
  <w:footnote w:id="51">
    <w:p w14:paraId="2638E3D7" w14:textId="66A54E74" w:rsidR="00DD477E" w:rsidRPr="00F5796F" w:rsidRDefault="00DD477E">
      <w:pPr>
        <w:pStyle w:val="Textodenotaderodap"/>
        <w:rPr>
          <w:rFonts w:ascii="Tahoma" w:hAnsi="Tahoma" w:cs="Tahoma"/>
          <w:sz w:val="18"/>
          <w:szCs w:val="18"/>
        </w:rPr>
      </w:pPr>
      <w:r w:rsidRPr="003C0053">
        <w:rPr>
          <w:rStyle w:val="Refdenotaderodap"/>
          <w:rFonts w:ascii="Tahoma" w:hAnsi="Tahoma" w:cs="Tahoma"/>
          <w:sz w:val="18"/>
          <w:szCs w:val="18"/>
        </w:rPr>
        <w:footnoteRef/>
      </w:r>
      <w:r w:rsidRPr="003C0053">
        <w:rPr>
          <w:rFonts w:ascii="Tahoma" w:hAnsi="Tahoma" w:cs="Tahoma"/>
          <w:sz w:val="18"/>
          <w:szCs w:val="18"/>
        </w:rPr>
        <w:t xml:space="preserve"> Ver, nesse sentido, </w:t>
      </w:r>
      <w:r w:rsidRPr="00F5796F">
        <w:rPr>
          <w:rFonts w:ascii="Tahoma" w:hAnsi="Tahoma" w:cs="Tahoma"/>
          <w:sz w:val="18"/>
          <w:szCs w:val="18"/>
        </w:rPr>
        <w:t xml:space="preserve">OCDE (2008), p.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D5CD7" w14:textId="0D588FED" w:rsidR="00DD477E" w:rsidRDefault="00DD477E" w:rsidP="003E36A0">
    <w:pPr>
      <w:pStyle w:val="Cabealho"/>
      <w:jc w:val="right"/>
    </w:pPr>
    <w:r w:rsidRPr="006F0F7B">
      <w:rPr>
        <w:noProof/>
        <w:lang w:eastAsia="pt-BR"/>
      </w:rPr>
      <w:drawing>
        <wp:inline distT="0" distB="0" distL="0" distR="0" wp14:anchorId="199638AA" wp14:editId="330882C3">
          <wp:extent cx="1522095" cy="676275"/>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09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B0019"/>
    <w:multiLevelType w:val="multilevel"/>
    <w:tmpl w:val="E38AAF7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
    <w:nsid w:val="15244411"/>
    <w:multiLevelType w:val="hybridMultilevel"/>
    <w:tmpl w:val="78B897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B5A7123"/>
    <w:multiLevelType w:val="hybridMultilevel"/>
    <w:tmpl w:val="480C4D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D7C38DE"/>
    <w:multiLevelType w:val="hybridMultilevel"/>
    <w:tmpl w:val="BD12D82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8D91357"/>
    <w:multiLevelType w:val="hybridMultilevel"/>
    <w:tmpl w:val="3A8A408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0902483"/>
    <w:multiLevelType w:val="hybridMultilevel"/>
    <w:tmpl w:val="4B24325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42404C8C"/>
    <w:multiLevelType w:val="hybridMultilevel"/>
    <w:tmpl w:val="EA183AB4"/>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FBC74A5"/>
    <w:multiLevelType w:val="hybridMultilevel"/>
    <w:tmpl w:val="7526B29E"/>
    <w:lvl w:ilvl="0" w:tplc="1FA6653E">
      <w:start w:val="1"/>
      <w:numFmt w:val="low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8">
    <w:nsid w:val="619B4587"/>
    <w:multiLevelType w:val="hybridMultilevel"/>
    <w:tmpl w:val="B8120E1E"/>
    <w:lvl w:ilvl="0" w:tplc="064E412C">
      <w:start w:val="1"/>
      <w:numFmt w:val="upperRoman"/>
      <w:lvlText w:val="%1."/>
      <w:lvlJc w:val="left"/>
      <w:pPr>
        <w:ind w:left="4690" w:hanging="720"/>
      </w:pPr>
      <w:rPr>
        <w:rFonts w:ascii="Tahoma" w:hAnsi="Tahoma" w:cs="Tahoma" w:hint="default"/>
        <w:sz w:val="22"/>
        <w:szCs w:val="22"/>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28B3624"/>
    <w:multiLevelType w:val="hybridMultilevel"/>
    <w:tmpl w:val="7ACC5A36"/>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A325541"/>
    <w:multiLevelType w:val="hybridMultilevel"/>
    <w:tmpl w:val="B5CE4C9E"/>
    <w:lvl w:ilvl="0" w:tplc="B7D4E940">
      <w:start w:val="1"/>
      <w:numFmt w:val="decimal"/>
      <w:lvlText w:val="%1."/>
      <w:lvlJc w:val="left"/>
      <w:pPr>
        <w:ind w:left="720" w:hanging="360"/>
      </w:pPr>
      <w:rPr>
        <w:rFonts w:ascii="Noto Sans" w:hAnsi="Noto Sans" w:cs="Noto Sans" w:hint="default"/>
        <w:b/>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B3D4FC1"/>
    <w:multiLevelType w:val="multilevel"/>
    <w:tmpl w:val="F274D2B6"/>
    <w:lvl w:ilvl="0">
      <w:start w:val="1"/>
      <w:numFmt w:val="decimal"/>
      <w:lvlText w:val="%1."/>
      <w:lvlJc w:val="left"/>
      <w:pPr>
        <w:ind w:left="720" w:hanging="360"/>
      </w:pPr>
      <w:rPr>
        <w:rFonts w:ascii="Tahoma" w:hAnsi="Tahoma" w:cs="Tahoma"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6DC436F0"/>
    <w:multiLevelType w:val="hybridMultilevel"/>
    <w:tmpl w:val="DB70150A"/>
    <w:lvl w:ilvl="0" w:tplc="4CBEAC9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8"/>
  </w:num>
  <w:num w:numId="5">
    <w:abstractNumId w:val="4"/>
  </w:num>
  <w:num w:numId="6">
    <w:abstractNumId w:val="11"/>
  </w:num>
  <w:num w:numId="7">
    <w:abstractNumId w:val="0"/>
  </w:num>
  <w:num w:numId="8">
    <w:abstractNumId w:val="1"/>
  </w:num>
  <w:num w:numId="9">
    <w:abstractNumId w:val="10"/>
  </w:num>
  <w:num w:numId="10">
    <w:abstractNumId w:val="7"/>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1CF"/>
    <w:rsid w:val="0000011B"/>
    <w:rsid w:val="0000344F"/>
    <w:rsid w:val="00003F92"/>
    <w:rsid w:val="000042A9"/>
    <w:rsid w:val="00007D0F"/>
    <w:rsid w:val="00011BFB"/>
    <w:rsid w:val="00014F75"/>
    <w:rsid w:val="00015350"/>
    <w:rsid w:val="000161CF"/>
    <w:rsid w:val="0001705E"/>
    <w:rsid w:val="00017381"/>
    <w:rsid w:val="000208AE"/>
    <w:rsid w:val="0002174A"/>
    <w:rsid w:val="000232ED"/>
    <w:rsid w:val="000235FD"/>
    <w:rsid w:val="000237B0"/>
    <w:rsid w:val="00023AE2"/>
    <w:rsid w:val="00023F83"/>
    <w:rsid w:val="000250B8"/>
    <w:rsid w:val="000270B6"/>
    <w:rsid w:val="00027BC1"/>
    <w:rsid w:val="0003211E"/>
    <w:rsid w:val="00033013"/>
    <w:rsid w:val="00033964"/>
    <w:rsid w:val="00035DEF"/>
    <w:rsid w:val="00036108"/>
    <w:rsid w:val="000367A8"/>
    <w:rsid w:val="00040745"/>
    <w:rsid w:val="0004076A"/>
    <w:rsid w:val="00041719"/>
    <w:rsid w:val="00043EBF"/>
    <w:rsid w:val="000457F6"/>
    <w:rsid w:val="00045F0F"/>
    <w:rsid w:val="00047DD8"/>
    <w:rsid w:val="00051D67"/>
    <w:rsid w:val="00051ED0"/>
    <w:rsid w:val="000529B6"/>
    <w:rsid w:val="00052B8E"/>
    <w:rsid w:val="0005448A"/>
    <w:rsid w:val="00054BA1"/>
    <w:rsid w:val="000564DA"/>
    <w:rsid w:val="0005742A"/>
    <w:rsid w:val="000575FE"/>
    <w:rsid w:val="00057725"/>
    <w:rsid w:val="000578E8"/>
    <w:rsid w:val="00057B4B"/>
    <w:rsid w:val="00060355"/>
    <w:rsid w:val="00062DCB"/>
    <w:rsid w:val="00063213"/>
    <w:rsid w:val="000633A1"/>
    <w:rsid w:val="0006386B"/>
    <w:rsid w:val="0006455B"/>
    <w:rsid w:val="00066F15"/>
    <w:rsid w:val="00067348"/>
    <w:rsid w:val="000706AF"/>
    <w:rsid w:val="00070A23"/>
    <w:rsid w:val="00071660"/>
    <w:rsid w:val="00072636"/>
    <w:rsid w:val="0007689A"/>
    <w:rsid w:val="00076F56"/>
    <w:rsid w:val="00081030"/>
    <w:rsid w:val="00081E2B"/>
    <w:rsid w:val="000822AE"/>
    <w:rsid w:val="00082AF1"/>
    <w:rsid w:val="00082B7E"/>
    <w:rsid w:val="000839D4"/>
    <w:rsid w:val="00083FD8"/>
    <w:rsid w:val="00084641"/>
    <w:rsid w:val="00084CAC"/>
    <w:rsid w:val="00085BA0"/>
    <w:rsid w:val="00085DA3"/>
    <w:rsid w:val="00086AFB"/>
    <w:rsid w:val="00086DB6"/>
    <w:rsid w:val="00090606"/>
    <w:rsid w:val="0009116C"/>
    <w:rsid w:val="000920EC"/>
    <w:rsid w:val="00092271"/>
    <w:rsid w:val="000934D0"/>
    <w:rsid w:val="00094F74"/>
    <w:rsid w:val="00096F6D"/>
    <w:rsid w:val="00097260"/>
    <w:rsid w:val="000974CB"/>
    <w:rsid w:val="000A0EE6"/>
    <w:rsid w:val="000A112B"/>
    <w:rsid w:val="000A1F89"/>
    <w:rsid w:val="000A21DD"/>
    <w:rsid w:val="000A43C3"/>
    <w:rsid w:val="000A4589"/>
    <w:rsid w:val="000A697A"/>
    <w:rsid w:val="000B1235"/>
    <w:rsid w:val="000B14FF"/>
    <w:rsid w:val="000B1B81"/>
    <w:rsid w:val="000B20CD"/>
    <w:rsid w:val="000B3030"/>
    <w:rsid w:val="000C300A"/>
    <w:rsid w:val="000C4488"/>
    <w:rsid w:val="000C4610"/>
    <w:rsid w:val="000C533F"/>
    <w:rsid w:val="000C69A3"/>
    <w:rsid w:val="000C7B5A"/>
    <w:rsid w:val="000D3D11"/>
    <w:rsid w:val="000D42D5"/>
    <w:rsid w:val="000D448A"/>
    <w:rsid w:val="000D4B09"/>
    <w:rsid w:val="000D5365"/>
    <w:rsid w:val="000D5654"/>
    <w:rsid w:val="000D5E05"/>
    <w:rsid w:val="000D6B95"/>
    <w:rsid w:val="000D6BCE"/>
    <w:rsid w:val="000E0220"/>
    <w:rsid w:val="000E179A"/>
    <w:rsid w:val="000E18B6"/>
    <w:rsid w:val="000E6287"/>
    <w:rsid w:val="000E69F2"/>
    <w:rsid w:val="000E6A03"/>
    <w:rsid w:val="000E7585"/>
    <w:rsid w:val="000E7C15"/>
    <w:rsid w:val="000E7E2B"/>
    <w:rsid w:val="000F269C"/>
    <w:rsid w:val="000F28F0"/>
    <w:rsid w:val="000F2AB2"/>
    <w:rsid w:val="000F2F1B"/>
    <w:rsid w:val="000F3B75"/>
    <w:rsid w:val="000F4706"/>
    <w:rsid w:val="000F4FF6"/>
    <w:rsid w:val="000F616B"/>
    <w:rsid w:val="001011A1"/>
    <w:rsid w:val="00106184"/>
    <w:rsid w:val="00106226"/>
    <w:rsid w:val="001062B3"/>
    <w:rsid w:val="001069D8"/>
    <w:rsid w:val="001119AE"/>
    <w:rsid w:val="00111F39"/>
    <w:rsid w:val="00113258"/>
    <w:rsid w:val="00117A92"/>
    <w:rsid w:val="001221AC"/>
    <w:rsid w:val="00122F8F"/>
    <w:rsid w:val="0012325B"/>
    <w:rsid w:val="00124A62"/>
    <w:rsid w:val="00124DBF"/>
    <w:rsid w:val="001263B8"/>
    <w:rsid w:val="00126619"/>
    <w:rsid w:val="00130D58"/>
    <w:rsid w:val="00132467"/>
    <w:rsid w:val="00132AA7"/>
    <w:rsid w:val="001361B9"/>
    <w:rsid w:val="00136255"/>
    <w:rsid w:val="00136A31"/>
    <w:rsid w:val="00140670"/>
    <w:rsid w:val="001408B0"/>
    <w:rsid w:val="00142CA3"/>
    <w:rsid w:val="00143853"/>
    <w:rsid w:val="00143A9D"/>
    <w:rsid w:val="0014517F"/>
    <w:rsid w:val="00145A35"/>
    <w:rsid w:val="00145FAC"/>
    <w:rsid w:val="00147CC2"/>
    <w:rsid w:val="00150599"/>
    <w:rsid w:val="001506E8"/>
    <w:rsid w:val="00150816"/>
    <w:rsid w:val="00150827"/>
    <w:rsid w:val="001508C0"/>
    <w:rsid w:val="00151796"/>
    <w:rsid w:val="00151CED"/>
    <w:rsid w:val="00152115"/>
    <w:rsid w:val="001523FD"/>
    <w:rsid w:val="0015251A"/>
    <w:rsid w:val="0015281B"/>
    <w:rsid w:val="00152A10"/>
    <w:rsid w:val="001533FC"/>
    <w:rsid w:val="00153F4B"/>
    <w:rsid w:val="00154378"/>
    <w:rsid w:val="001544D8"/>
    <w:rsid w:val="00154B10"/>
    <w:rsid w:val="001556E5"/>
    <w:rsid w:val="00156AFA"/>
    <w:rsid w:val="0015792F"/>
    <w:rsid w:val="00160CB6"/>
    <w:rsid w:val="00160CE2"/>
    <w:rsid w:val="00161CC8"/>
    <w:rsid w:val="00163F6E"/>
    <w:rsid w:val="0016455F"/>
    <w:rsid w:val="00164727"/>
    <w:rsid w:val="001674B0"/>
    <w:rsid w:val="001715F7"/>
    <w:rsid w:val="00172054"/>
    <w:rsid w:val="00173EC2"/>
    <w:rsid w:val="001740C2"/>
    <w:rsid w:val="00174BA5"/>
    <w:rsid w:val="00174D01"/>
    <w:rsid w:val="001770BC"/>
    <w:rsid w:val="00177F27"/>
    <w:rsid w:val="00184037"/>
    <w:rsid w:val="00185AC4"/>
    <w:rsid w:val="00187F0C"/>
    <w:rsid w:val="00190399"/>
    <w:rsid w:val="00190458"/>
    <w:rsid w:val="00190D9A"/>
    <w:rsid w:val="001920D7"/>
    <w:rsid w:val="00192312"/>
    <w:rsid w:val="001931A7"/>
    <w:rsid w:val="00194E22"/>
    <w:rsid w:val="00196AF5"/>
    <w:rsid w:val="0019719A"/>
    <w:rsid w:val="00197579"/>
    <w:rsid w:val="001A1B55"/>
    <w:rsid w:val="001A2929"/>
    <w:rsid w:val="001A4301"/>
    <w:rsid w:val="001A4546"/>
    <w:rsid w:val="001A530F"/>
    <w:rsid w:val="001A5679"/>
    <w:rsid w:val="001A671C"/>
    <w:rsid w:val="001A6835"/>
    <w:rsid w:val="001A7606"/>
    <w:rsid w:val="001A7B74"/>
    <w:rsid w:val="001B0333"/>
    <w:rsid w:val="001B141D"/>
    <w:rsid w:val="001B4DFA"/>
    <w:rsid w:val="001B4F38"/>
    <w:rsid w:val="001B61F0"/>
    <w:rsid w:val="001B6C12"/>
    <w:rsid w:val="001B7229"/>
    <w:rsid w:val="001C06B4"/>
    <w:rsid w:val="001C0C7D"/>
    <w:rsid w:val="001C29AB"/>
    <w:rsid w:val="001C5B66"/>
    <w:rsid w:val="001C677F"/>
    <w:rsid w:val="001C6FFE"/>
    <w:rsid w:val="001C7690"/>
    <w:rsid w:val="001D0191"/>
    <w:rsid w:val="001D0C1E"/>
    <w:rsid w:val="001D2323"/>
    <w:rsid w:val="001D23FF"/>
    <w:rsid w:val="001D2403"/>
    <w:rsid w:val="001D267C"/>
    <w:rsid w:val="001D34DB"/>
    <w:rsid w:val="001D363F"/>
    <w:rsid w:val="001D3924"/>
    <w:rsid w:val="001D3D6A"/>
    <w:rsid w:val="001D5335"/>
    <w:rsid w:val="001D5DB5"/>
    <w:rsid w:val="001D5F33"/>
    <w:rsid w:val="001D6B84"/>
    <w:rsid w:val="001D7268"/>
    <w:rsid w:val="001D72FE"/>
    <w:rsid w:val="001D74BE"/>
    <w:rsid w:val="001E0E15"/>
    <w:rsid w:val="001E0FD5"/>
    <w:rsid w:val="001E363A"/>
    <w:rsid w:val="001E611F"/>
    <w:rsid w:val="001E65E9"/>
    <w:rsid w:val="001E7BA8"/>
    <w:rsid w:val="001F0720"/>
    <w:rsid w:val="001F1BA6"/>
    <w:rsid w:val="001F269B"/>
    <w:rsid w:val="001F52BC"/>
    <w:rsid w:val="001F5A8A"/>
    <w:rsid w:val="001F6C85"/>
    <w:rsid w:val="00203F76"/>
    <w:rsid w:val="00204EBC"/>
    <w:rsid w:val="0020630F"/>
    <w:rsid w:val="002068ED"/>
    <w:rsid w:val="00210D66"/>
    <w:rsid w:val="00211502"/>
    <w:rsid w:val="002115CB"/>
    <w:rsid w:val="00214A2D"/>
    <w:rsid w:val="00214EE0"/>
    <w:rsid w:val="002158F9"/>
    <w:rsid w:val="00215C18"/>
    <w:rsid w:val="00216174"/>
    <w:rsid w:val="002166B7"/>
    <w:rsid w:val="0021724D"/>
    <w:rsid w:val="0021731C"/>
    <w:rsid w:val="00217FFB"/>
    <w:rsid w:val="00221EF8"/>
    <w:rsid w:val="002228C8"/>
    <w:rsid w:val="00223667"/>
    <w:rsid w:val="0022561D"/>
    <w:rsid w:val="00226593"/>
    <w:rsid w:val="0022671D"/>
    <w:rsid w:val="00226CD5"/>
    <w:rsid w:val="0022786D"/>
    <w:rsid w:val="00227AB0"/>
    <w:rsid w:val="00231153"/>
    <w:rsid w:val="002319A3"/>
    <w:rsid w:val="00231D12"/>
    <w:rsid w:val="002341BD"/>
    <w:rsid w:val="00237BB4"/>
    <w:rsid w:val="00240E14"/>
    <w:rsid w:val="002425B6"/>
    <w:rsid w:val="002425FC"/>
    <w:rsid w:val="0024281B"/>
    <w:rsid w:val="00242AF0"/>
    <w:rsid w:val="00242D89"/>
    <w:rsid w:val="002439E1"/>
    <w:rsid w:val="00244E0F"/>
    <w:rsid w:val="00245392"/>
    <w:rsid w:val="00245A1E"/>
    <w:rsid w:val="00245D4D"/>
    <w:rsid w:val="002472B9"/>
    <w:rsid w:val="00251591"/>
    <w:rsid w:val="002535AD"/>
    <w:rsid w:val="0025424F"/>
    <w:rsid w:val="00255803"/>
    <w:rsid w:val="00256882"/>
    <w:rsid w:val="0025764E"/>
    <w:rsid w:val="00257767"/>
    <w:rsid w:val="00257B92"/>
    <w:rsid w:val="00260222"/>
    <w:rsid w:val="002604F4"/>
    <w:rsid w:val="00261353"/>
    <w:rsid w:val="00261F38"/>
    <w:rsid w:val="00262CD3"/>
    <w:rsid w:val="00263E81"/>
    <w:rsid w:val="00264063"/>
    <w:rsid w:val="002640B6"/>
    <w:rsid w:val="002645DF"/>
    <w:rsid w:val="002658D0"/>
    <w:rsid w:val="002659C3"/>
    <w:rsid w:val="00266508"/>
    <w:rsid w:val="00270F07"/>
    <w:rsid w:val="00275CD5"/>
    <w:rsid w:val="0028099E"/>
    <w:rsid w:val="002810A2"/>
    <w:rsid w:val="00281D45"/>
    <w:rsid w:val="0028361B"/>
    <w:rsid w:val="002855D4"/>
    <w:rsid w:val="002857C1"/>
    <w:rsid w:val="002876CE"/>
    <w:rsid w:val="00290336"/>
    <w:rsid w:val="00290A78"/>
    <w:rsid w:val="00291067"/>
    <w:rsid w:val="00292F92"/>
    <w:rsid w:val="0029519B"/>
    <w:rsid w:val="0029676E"/>
    <w:rsid w:val="00296820"/>
    <w:rsid w:val="002973CE"/>
    <w:rsid w:val="0029766E"/>
    <w:rsid w:val="0029790C"/>
    <w:rsid w:val="002A3369"/>
    <w:rsid w:val="002A6925"/>
    <w:rsid w:val="002B0F24"/>
    <w:rsid w:val="002B12F8"/>
    <w:rsid w:val="002B27AE"/>
    <w:rsid w:val="002B312E"/>
    <w:rsid w:val="002B3226"/>
    <w:rsid w:val="002B5261"/>
    <w:rsid w:val="002B5AF0"/>
    <w:rsid w:val="002B7525"/>
    <w:rsid w:val="002B79F5"/>
    <w:rsid w:val="002B7CC0"/>
    <w:rsid w:val="002B7EB6"/>
    <w:rsid w:val="002C0594"/>
    <w:rsid w:val="002C158D"/>
    <w:rsid w:val="002C2ADB"/>
    <w:rsid w:val="002C4B0C"/>
    <w:rsid w:val="002C5A8E"/>
    <w:rsid w:val="002C63B1"/>
    <w:rsid w:val="002C7AA9"/>
    <w:rsid w:val="002D2358"/>
    <w:rsid w:val="002D24B1"/>
    <w:rsid w:val="002D27BC"/>
    <w:rsid w:val="002D3564"/>
    <w:rsid w:val="002D38EC"/>
    <w:rsid w:val="002D676F"/>
    <w:rsid w:val="002D6E92"/>
    <w:rsid w:val="002E2727"/>
    <w:rsid w:val="002E6665"/>
    <w:rsid w:val="002E744C"/>
    <w:rsid w:val="002E7527"/>
    <w:rsid w:val="002E7DD9"/>
    <w:rsid w:val="002F01E7"/>
    <w:rsid w:val="002F0B7C"/>
    <w:rsid w:val="002F152B"/>
    <w:rsid w:val="002F18E9"/>
    <w:rsid w:val="002F2C98"/>
    <w:rsid w:val="002F5FE1"/>
    <w:rsid w:val="002F6788"/>
    <w:rsid w:val="002F682A"/>
    <w:rsid w:val="002F70C9"/>
    <w:rsid w:val="00301B98"/>
    <w:rsid w:val="003038DD"/>
    <w:rsid w:val="00303A70"/>
    <w:rsid w:val="00304AE1"/>
    <w:rsid w:val="00304BBF"/>
    <w:rsid w:val="003057EE"/>
    <w:rsid w:val="0030590A"/>
    <w:rsid w:val="00306C8D"/>
    <w:rsid w:val="00310860"/>
    <w:rsid w:val="0031121B"/>
    <w:rsid w:val="00311EFF"/>
    <w:rsid w:val="003125B1"/>
    <w:rsid w:val="00312619"/>
    <w:rsid w:val="0031263F"/>
    <w:rsid w:val="003130BD"/>
    <w:rsid w:val="003136B0"/>
    <w:rsid w:val="0031497E"/>
    <w:rsid w:val="00314CD3"/>
    <w:rsid w:val="0031519A"/>
    <w:rsid w:val="00315E6D"/>
    <w:rsid w:val="00316153"/>
    <w:rsid w:val="0031677C"/>
    <w:rsid w:val="00316B58"/>
    <w:rsid w:val="003208EB"/>
    <w:rsid w:val="003213C4"/>
    <w:rsid w:val="00323940"/>
    <w:rsid w:val="00325581"/>
    <w:rsid w:val="003255B0"/>
    <w:rsid w:val="003304F6"/>
    <w:rsid w:val="003305F3"/>
    <w:rsid w:val="0033233C"/>
    <w:rsid w:val="00332E6C"/>
    <w:rsid w:val="00333176"/>
    <w:rsid w:val="00333AAA"/>
    <w:rsid w:val="00333EFB"/>
    <w:rsid w:val="00334F16"/>
    <w:rsid w:val="0033607B"/>
    <w:rsid w:val="0033712E"/>
    <w:rsid w:val="00337D98"/>
    <w:rsid w:val="00337DAF"/>
    <w:rsid w:val="0034212F"/>
    <w:rsid w:val="003435EB"/>
    <w:rsid w:val="00343A41"/>
    <w:rsid w:val="003441A3"/>
    <w:rsid w:val="00345986"/>
    <w:rsid w:val="00347378"/>
    <w:rsid w:val="003476EB"/>
    <w:rsid w:val="00350182"/>
    <w:rsid w:val="00351118"/>
    <w:rsid w:val="00352613"/>
    <w:rsid w:val="00352622"/>
    <w:rsid w:val="003531AD"/>
    <w:rsid w:val="00353232"/>
    <w:rsid w:val="00353520"/>
    <w:rsid w:val="00353885"/>
    <w:rsid w:val="00355EF3"/>
    <w:rsid w:val="003561C9"/>
    <w:rsid w:val="00356678"/>
    <w:rsid w:val="00356FF1"/>
    <w:rsid w:val="003602A5"/>
    <w:rsid w:val="00361B44"/>
    <w:rsid w:val="00362A93"/>
    <w:rsid w:val="00362C7D"/>
    <w:rsid w:val="00362DFC"/>
    <w:rsid w:val="003637C2"/>
    <w:rsid w:val="00364FBC"/>
    <w:rsid w:val="00365239"/>
    <w:rsid w:val="00365862"/>
    <w:rsid w:val="00365DE3"/>
    <w:rsid w:val="00366ADD"/>
    <w:rsid w:val="0036749E"/>
    <w:rsid w:val="00367F49"/>
    <w:rsid w:val="00371E3C"/>
    <w:rsid w:val="00371FE9"/>
    <w:rsid w:val="00372B19"/>
    <w:rsid w:val="00372EE5"/>
    <w:rsid w:val="0037492B"/>
    <w:rsid w:val="0037798C"/>
    <w:rsid w:val="00380DD2"/>
    <w:rsid w:val="00380F90"/>
    <w:rsid w:val="00383CF4"/>
    <w:rsid w:val="0038540F"/>
    <w:rsid w:val="003861F9"/>
    <w:rsid w:val="00386FB9"/>
    <w:rsid w:val="00387386"/>
    <w:rsid w:val="003879E2"/>
    <w:rsid w:val="00387B64"/>
    <w:rsid w:val="003910B6"/>
    <w:rsid w:val="00392438"/>
    <w:rsid w:val="0039335A"/>
    <w:rsid w:val="00393F8F"/>
    <w:rsid w:val="0039486C"/>
    <w:rsid w:val="00395092"/>
    <w:rsid w:val="0039544D"/>
    <w:rsid w:val="00396AC2"/>
    <w:rsid w:val="00397B4F"/>
    <w:rsid w:val="003A078C"/>
    <w:rsid w:val="003A1639"/>
    <w:rsid w:val="003A4C3E"/>
    <w:rsid w:val="003A503D"/>
    <w:rsid w:val="003A5FA6"/>
    <w:rsid w:val="003B29E0"/>
    <w:rsid w:val="003B487B"/>
    <w:rsid w:val="003B5060"/>
    <w:rsid w:val="003B5224"/>
    <w:rsid w:val="003B56CB"/>
    <w:rsid w:val="003B5889"/>
    <w:rsid w:val="003B6419"/>
    <w:rsid w:val="003B64B3"/>
    <w:rsid w:val="003B6954"/>
    <w:rsid w:val="003B7993"/>
    <w:rsid w:val="003B7CEA"/>
    <w:rsid w:val="003C0053"/>
    <w:rsid w:val="003C01DF"/>
    <w:rsid w:val="003C0D12"/>
    <w:rsid w:val="003C100A"/>
    <w:rsid w:val="003C2607"/>
    <w:rsid w:val="003C2F8C"/>
    <w:rsid w:val="003C3F06"/>
    <w:rsid w:val="003C7C3B"/>
    <w:rsid w:val="003D12BA"/>
    <w:rsid w:val="003D303E"/>
    <w:rsid w:val="003D370F"/>
    <w:rsid w:val="003D4F49"/>
    <w:rsid w:val="003D7638"/>
    <w:rsid w:val="003D7FCF"/>
    <w:rsid w:val="003E1075"/>
    <w:rsid w:val="003E15FC"/>
    <w:rsid w:val="003E26ED"/>
    <w:rsid w:val="003E36A0"/>
    <w:rsid w:val="003E47DB"/>
    <w:rsid w:val="003E7588"/>
    <w:rsid w:val="003F1021"/>
    <w:rsid w:val="003F1053"/>
    <w:rsid w:val="003F16D9"/>
    <w:rsid w:val="003F4396"/>
    <w:rsid w:val="003F4A58"/>
    <w:rsid w:val="003F653C"/>
    <w:rsid w:val="003F6E25"/>
    <w:rsid w:val="004001C9"/>
    <w:rsid w:val="0040089E"/>
    <w:rsid w:val="0040420B"/>
    <w:rsid w:val="00404B2D"/>
    <w:rsid w:val="00404DBD"/>
    <w:rsid w:val="00405081"/>
    <w:rsid w:val="00405A65"/>
    <w:rsid w:val="00410396"/>
    <w:rsid w:val="00413532"/>
    <w:rsid w:val="00414D1E"/>
    <w:rsid w:val="004152BC"/>
    <w:rsid w:val="004157A1"/>
    <w:rsid w:val="00415834"/>
    <w:rsid w:val="004205B2"/>
    <w:rsid w:val="00421483"/>
    <w:rsid w:val="00422667"/>
    <w:rsid w:val="00423762"/>
    <w:rsid w:val="00423AD6"/>
    <w:rsid w:val="00425501"/>
    <w:rsid w:val="0042663D"/>
    <w:rsid w:val="004273F1"/>
    <w:rsid w:val="0042761E"/>
    <w:rsid w:val="0043010A"/>
    <w:rsid w:val="004319F7"/>
    <w:rsid w:val="004349F3"/>
    <w:rsid w:val="0043568A"/>
    <w:rsid w:val="004362FF"/>
    <w:rsid w:val="004375A2"/>
    <w:rsid w:val="00437779"/>
    <w:rsid w:val="0044050D"/>
    <w:rsid w:val="004406E8"/>
    <w:rsid w:val="00441C71"/>
    <w:rsid w:val="00441E11"/>
    <w:rsid w:val="004441F9"/>
    <w:rsid w:val="00444D4B"/>
    <w:rsid w:val="0044506C"/>
    <w:rsid w:val="00445847"/>
    <w:rsid w:val="00445CFD"/>
    <w:rsid w:val="00447093"/>
    <w:rsid w:val="00447BC1"/>
    <w:rsid w:val="00447D52"/>
    <w:rsid w:val="0045048E"/>
    <w:rsid w:val="00450622"/>
    <w:rsid w:val="00450741"/>
    <w:rsid w:val="0045324B"/>
    <w:rsid w:val="00453841"/>
    <w:rsid w:val="00456C62"/>
    <w:rsid w:val="004574A9"/>
    <w:rsid w:val="00460E22"/>
    <w:rsid w:val="00462224"/>
    <w:rsid w:val="00462F15"/>
    <w:rsid w:val="004636FA"/>
    <w:rsid w:val="00464437"/>
    <w:rsid w:val="00464EE2"/>
    <w:rsid w:val="00466289"/>
    <w:rsid w:val="00467E30"/>
    <w:rsid w:val="004700B5"/>
    <w:rsid w:val="0047248D"/>
    <w:rsid w:val="00473982"/>
    <w:rsid w:val="004760C3"/>
    <w:rsid w:val="00477CCA"/>
    <w:rsid w:val="00480025"/>
    <w:rsid w:val="00480485"/>
    <w:rsid w:val="00480952"/>
    <w:rsid w:val="00480F07"/>
    <w:rsid w:val="00481A57"/>
    <w:rsid w:val="00481ECE"/>
    <w:rsid w:val="00481FF4"/>
    <w:rsid w:val="0048413E"/>
    <w:rsid w:val="00485728"/>
    <w:rsid w:val="00485E13"/>
    <w:rsid w:val="00490CA6"/>
    <w:rsid w:val="004936B4"/>
    <w:rsid w:val="00495114"/>
    <w:rsid w:val="004A0C52"/>
    <w:rsid w:val="004A158A"/>
    <w:rsid w:val="004A1993"/>
    <w:rsid w:val="004A2739"/>
    <w:rsid w:val="004A2CB6"/>
    <w:rsid w:val="004A34FE"/>
    <w:rsid w:val="004A42FB"/>
    <w:rsid w:val="004A6220"/>
    <w:rsid w:val="004A67F1"/>
    <w:rsid w:val="004A7ADF"/>
    <w:rsid w:val="004B1F48"/>
    <w:rsid w:val="004B29EE"/>
    <w:rsid w:val="004B2ED9"/>
    <w:rsid w:val="004B3225"/>
    <w:rsid w:val="004B35FB"/>
    <w:rsid w:val="004B3D4C"/>
    <w:rsid w:val="004B40F6"/>
    <w:rsid w:val="004B485E"/>
    <w:rsid w:val="004B5898"/>
    <w:rsid w:val="004B7278"/>
    <w:rsid w:val="004B795F"/>
    <w:rsid w:val="004C0446"/>
    <w:rsid w:val="004C288B"/>
    <w:rsid w:val="004C2BDC"/>
    <w:rsid w:val="004C4ACD"/>
    <w:rsid w:val="004C51B0"/>
    <w:rsid w:val="004C55D4"/>
    <w:rsid w:val="004C6022"/>
    <w:rsid w:val="004C61F8"/>
    <w:rsid w:val="004D0BAD"/>
    <w:rsid w:val="004D301F"/>
    <w:rsid w:val="004D4D2D"/>
    <w:rsid w:val="004D536F"/>
    <w:rsid w:val="004D5839"/>
    <w:rsid w:val="004D603F"/>
    <w:rsid w:val="004D6413"/>
    <w:rsid w:val="004D6ACC"/>
    <w:rsid w:val="004D6DE0"/>
    <w:rsid w:val="004D6DE4"/>
    <w:rsid w:val="004E07EC"/>
    <w:rsid w:val="004E0A25"/>
    <w:rsid w:val="004E1346"/>
    <w:rsid w:val="004E2230"/>
    <w:rsid w:val="004E4566"/>
    <w:rsid w:val="004E6784"/>
    <w:rsid w:val="004E6FD9"/>
    <w:rsid w:val="004E7196"/>
    <w:rsid w:val="004E7BBB"/>
    <w:rsid w:val="004F1DB2"/>
    <w:rsid w:val="004F1DDA"/>
    <w:rsid w:val="004F4821"/>
    <w:rsid w:val="004F482A"/>
    <w:rsid w:val="004F5171"/>
    <w:rsid w:val="004F5574"/>
    <w:rsid w:val="004F62E9"/>
    <w:rsid w:val="0050125A"/>
    <w:rsid w:val="00501E40"/>
    <w:rsid w:val="00502F06"/>
    <w:rsid w:val="005039AC"/>
    <w:rsid w:val="00504D1B"/>
    <w:rsid w:val="00504ED7"/>
    <w:rsid w:val="00505F83"/>
    <w:rsid w:val="005123A7"/>
    <w:rsid w:val="00512DFA"/>
    <w:rsid w:val="00513854"/>
    <w:rsid w:val="00515FF2"/>
    <w:rsid w:val="005170C2"/>
    <w:rsid w:val="00521FAF"/>
    <w:rsid w:val="0052263B"/>
    <w:rsid w:val="00523277"/>
    <w:rsid w:val="00523DCF"/>
    <w:rsid w:val="00524072"/>
    <w:rsid w:val="00525C71"/>
    <w:rsid w:val="0053083F"/>
    <w:rsid w:val="00530B1F"/>
    <w:rsid w:val="005318E5"/>
    <w:rsid w:val="00534B61"/>
    <w:rsid w:val="005353EE"/>
    <w:rsid w:val="00535C4F"/>
    <w:rsid w:val="00536431"/>
    <w:rsid w:val="005366D0"/>
    <w:rsid w:val="00537E8D"/>
    <w:rsid w:val="0054279A"/>
    <w:rsid w:val="005430FE"/>
    <w:rsid w:val="005452B9"/>
    <w:rsid w:val="00550F22"/>
    <w:rsid w:val="00551048"/>
    <w:rsid w:val="00551A06"/>
    <w:rsid w:val="00553975"/>
    <w:rsid w:val="0055562B"/>
    <w:rsid w:val="00555EE0"/>
    <w:rsid w:val="00556398"/>
    <w:rsid w:val="005568E5"/>
    <w:rsid w:val="00557208"/>
    <w:rsid w:val="005573AA"/>
    <w:rsid w:val="00557FD0"/>
    <w:rsid w:val="00560AAA"/>
    <w:rsid w:val="00561239"/>
    <w:rsid w:val="00561D71"/>
    <w:rsid w:val="00562255"/>
    <w:rsid w:val="00562AC6"/>
    <w:rsid w:val="005630CD"/>
    <w:rsid w:val="005636ED"/>
    <w:rsid w:val="00563D25"/>
    <w:rsid w:val="00563E7F"/>
    <w:rsid w:val="00564D2C"/>
    <w:rsid w:val="00565C42"/>
    <w:rsid w:val="00566C7A"/>
    <w:rsid w:val="00566DA6"/>
    <w:rsid w:val="005675E8"/>
    <w:rsid w:val="00571C81"/>
    <w:rsid w:val="0057243C"/>
    <w:rsid w:val="00572C5A"/>
    <w:rsid w:val="00573B71"/>
    <w:rsid w:val="00574928"/>
    <w:rsid w:val="005749DE"/>
    <w:rsid w:val="00574E56"/>
    <w:rsid w:val="005751C8"/>
    <w:rsid w:val="005754B3"/>
    <w:rsid w:val="0057607F"/>
    <w:rsid w:val="00577E9A"/>
    <w:rsid w:val="00580566"/>
    <w:rsid w:val="0058179D"/>
    <w:rsid w:val="005831FE"/>
    <w:rsid w:val="00584DC5"/>
    <w:rsid w:val="0058746D"/>
    <w:rsid w:val="005910BE"/>
    <w:rsid w:val="005924F1"/>
    <w:rsid w:val="005938D6"/>
    <w:rsid w:val="00597ABE"/>
    <w:rsid w:val="005A0EEC"/>
    <w:rsid w:val="005A13CB"/>
    <w:rsid w:val="005A147F"/>
    <w:rsid w:val="005A1EB4"/>
    <w:rsid w:val="005A3358"/>
    <w:rsid w:val="005A36F0"/>
    <w:rsid w:val="005A40D3"/>
    <w:rsid w:val="005A4A0B"/>
    <w:rsid w:val="005A4D9A"/>
    <w:rsid w:val="005A586E"/>
    <w:rsid w:val="005B10C6"/>
    <w:rsid w:val="005B27C4"/>
    <w:rsid w:val="005B28CA"/>
    <w:rsid w:val="005B509E"/>
    <w:rsid w:val="005B57B4"/>
    <w:rsid w:val="005B710D"/>
    <w:rsid w:val="005C00F7"/>
    <w:rsid w:val="005C05EA"/>
    <w:rsid w:val="005C183B"/>
    <w:rsid w:val="005C2068"/>
    <w:rsid w:val="005C2D2B"/>
    <w:rsid w:val="005C6AE2"/>
    <w:rsid w:val="005C6B43"/>
    <w:rsid w:val="005C7943"/>
    <w:rsid w:val="005D16CF"/>
    <w:rsid w:val="005D2C6B"/>
    <w:rsid w:val="005D497E"/>
    <w:rsid w:val="005D4C2A"/>
    <w:rsid w:val="005E04F4"/>
    <w:rsid w:val="005E1130"/>
    <w:rsid w:val="005E3163"/>
    <w:rsid w:val="005E32EC"/>
    <w:rsid w:val="005E3818"/>
    <w:rsid w:val="005E4EB6"/>
    <w:rsid w:val="005E4FAC"/>
    <w:rsid w:val="005E5BEA"/>
    <w:rsid w:val="005E5CE9"/>
    <w:rsid w:val="005E6439"/>
    <w:rsid w:val="005E6FEE"/>
    <w:rsid w:val="005F015A"/>
    <w:rsid w:val="005F0730"/>
    <w:rsid w:val="005F12A9"/>
    <w:rsid w:val="005F1A2F"/>
    <w:rsid w:val="005F21B7"/>
    <w:rsid w:val="005F4278"/>
    <w:rsid w:val="005F4558"/>
    <w:rsid w:val="005F7CB0"/>
    <w:rsid w:val="00600248"/>
    <w:rsid w:val="006007AF"/>
    <w:rsid w:val="00602221"/>
    <w:rsid w:val="006023F5"/>
    <w:rsid w:val="006030F3"/>
    <w:rsid w:val="00603172"/>
    <w:rsid w:val="006033C7"/>
    <w:rsid w:val="00603677"/>
    <w:rsid w:val="00603EE4"/>
    <w:rsid w:val="006046FF"/>
    <w:rsid w:val="0060498F"/>
    <w:rsid w:val="00607269"/>
    <w:rsid w:val="00607535"/>
    <w:rsid w:val="00610A3C"/>
    <w:rsid w:val="00611C76"/>
    <w:rsid w:val="00612BBF"/>
    <w:rsid w:val="00612D44"/>
    <w:rsid w:val="00616054"/>
    <w:rsid w:val="00616BFC"/>
    <w:rsid w:val="00617086"/>
    <w:rsid w:val="00621DFC"/>
    <w:rsid w:val="006222D4"/>
    <w:rsid w:val="006225B3"/>
    <w:rsid w:val="00622D70"/>
    <w:rsid w:val="00623DB7"/>
    <w:rsid w:val="006242A0"/>
    <w:rsid w:val="00624405"/>
    <w:rsid w:val="00624681"/>
    <w:rsid w:val="0062481B"/>
    <w:rsid w:val="00625DE8"/>
    <w:rsid w:val="00625EAB"/>
    <w:rsid w:val="006303CD"/>
    <w:rsid w:val="006307B4"/>
    <w:rsid w:val="00632CA1"/>
    <w:rsid w:val="00633326"/>
    <w:rsid w:val="0063362C"/>
    <w:rsid w:val="0063492F"/>
    <w:rsid w:val="006354AD"/>
    <w:rsid w:val="00637C4F"/>
    <w:rsid w:val="006411F8"/>
    <w:rsid w:val="006428B3"/>
    <w:rsid w:val="00642BB8"/>
    <w:rsid w:val="00643365"/>
    <w:rsid w:val="00643DBC"/>
    <w:rsid w:val="00646318"/>
    <w:rsid w:val="0064695C"/>
    <w:rsid w:val="006479DC"/>
    <w:rsid w:val="00650904"/>
    <w:rsid w:val="00650F84"/>
    <w:rsid w:val="006511DB"/>
    <w:rsid w:val="00651A59"/>
    <w:rsid w:val="00653BBD"/>
    <w:rsid w:val="006540AA"/>
    <w:rsid w:val="0065534A"/>
    <w:rsid w:val="00655374"/>
    <w:rsid w:val="00655B0B"/>
    <w:rsid w:val="00655D89"/>
    <w:rsid w:val="00656228"/>
    <w:rsid w:val="006568AD"/>
    <w:rsid w:val="006609FD"/>
    <w:rsid w:val="00661995"/>
    <w:rsid w:val="00663749"/>
    <w:rsid w:val="00664D7A"/>
    <w:rsid w:val="006653B1"/>
    <w:rsid w:val="006653C1"/>
    <w:rsid w:val="00666772"/>
    <w:rsid w:val="00666908"/>
    <w:rsid w:val="0067130F"/>
    <w:rsid w:val="00673653"/>
    <w:rsid w:val="00674349"/>
    <w:rsid w:val="00675342"/>
    <w:rsid w:val="00677E96"/>
    <w:rsid w:val="00677FEB"/>
    <w:rsid w:val="0068008E"/>
    <w:rsid w:val="00680F31"/>
    <w:rsid w:val="00681689"/>
    <w:rsid w:val="0068250A"/>
    <w:rsid w:val="00682BC6"/>
    <w:rsid w:val="00682F38"/>
    <w:rsid w:val="00683251"/>
    <w:rsid w:val="00683412"/>
    <w:rsid w:val="00685A29"/>
    <w:rsid w:val="00685BF7"/>
    <w:rsid w:val="00687F7F"/>
    <w:rsid w:val="0069006B"/>
    <w:rsid w:val="00691536"/>
    <w:rsid w:val="0069285B"/>
    <w:rsid w:val="00692CE5"/>
    <w:rsid w:val="00693F25"/>
    <w:rsid w:val="00693FF1"/>
    <w:rsid w:val="00695275"/>
    <w:rsid w:val="00695287"/>
    <w:rsid w:val="006953CC"/>
    <w:rsid w:val="00696EC5"/>
    <w:rsid w:val="006A146D"/>
    <w:rsid w:val="006A1844"/>
    <w:rsid w:val="006A1A4B"/>
    <w:rsid w:val="006A1C15"/>
    <w:rsid w:val="006A1FD8"/>
    <w:rsid w:val="006A286D"/>
    <w:rsid w:val="006A2DD7"/>
    <w:rsid w:val="006A2F3E"/>
    <w:rsid w:val="006A3243"/>
    <w:rsid w:val="006A3244"/>
    <w:rsid w:val="006A3E08"/>
    <w:rsid w:val="006A6642"/>
    <w:rsid w:val="006A6935"/>
    <w:rsid w:val="006A786B"/>
    <w:rsid w:val="006B03A6"/>
    <w:rsid w:val="006B374C"/>
    <w:rsid w:val="006B45CD"/>
    <w:rsid w:val="006B52B8"/>
    <w:rsid w:val="006B5338"/>
    <w:rsid w:val="006B53A7"/>
    <w:rsid w:val="006B7BA8"/>
    <w:rsid w:val="006B7BC1"/>
    <w:rsid w:val="006B7F7E"/>
    <w:rsid w:val="006C0990"/>
    <w:rsid w:val="006C1017"/>
    <w:rsid w:val="006C2591"/>
    <w:rsid w:val="006C2E4F"/>
    <w:rsid w:val="006C4087"/>
    <w:rsid w:val="006C66B0"/>
    <w:rsid w:val="006C6ACC"/>
    <w:rsid w:val="006C7F6F"/>
    <w:rsid w:val="006D04D2"/>
    <w:rsid w:val="006D0658"/>
    <w:rsid w:val="006D083F"/>
    <w:rsid w:val="006D0B56"/>
    <w:rsid w:val="006D1F26"/>
    <w:rsid w:val="006D28B2"/>
    <w:rsid w:val="006D4BE5"/>
    <w:rsid w:val="006D54F6"/>
    <w:rsid w:val="006D6052"/>
    <w:rsid w:val="006D6062"/>
    <w:rsid w:val="006D7240"/>
    <w:rsid w:val="006E0D82"/>
    <w:rsid w:val="006E131D"/>
    <w:rsid w:val="006E2BDA"/>
    <w:rsid w:val="006E30E3"/>
    <w:rsid w:val="006E4D8E"/>
    <w:rsid w:val="006E4E7F"/>
    <w:rsid w:val="006E5201"/>
    <w:rsid w:val="006E6A17"/>
    <w:rsid w:val="006F0DD3"/>
    <w:rsid w:val="006F1DD4"/>
    <w:rsid w:val="006F1F8B"/>
    <w:rsid w:val="006F2A29"/>
    <w:rsid w:val="006F33EC"/>
    <w:rsid w:val="006F3908"/>
    <w:rsid w:val="006F3F33"/>
    <w:rsid w:val="006F47F0"/>
    <w:rsid w:val="006F4AD8"/>
    <w:rsid w:val="006F77A6"/>
    <w:rsid w:val="0070039B"/>
    <w:rsid w:val="00700AFF"/>
    <w:rsid w:val="0070241E"/>
    <w:rsid w:val="00703204"/>
    <w:rsid w:val="007034D0"/>
    <w:rsid w:val="007043F0"/>
    <w:rsid w:val="00705256"/>
    <w:rsid w:val="007053D4"/>
    <w:rsid w:val="00706709"/>
    <w:rsid w:val="00706F36"/>
    <w:rsid w:val="007102CC"/>
    <w:rsid w:val="007143B6"/>
    <w:rsid w:val="00714E3A"/>
    <w:rsid w:val="0071585E"/>
    <w:rsid w:val="00717978"/>
    <w:rsid w:val="00717B7D"/>
    <w:rsid w:val="00720264"/>
    <w:rsid w:val="007210B8"/>
    <w:rsid w:val="007210D3"/>
    <w:rsid w:val="0072235B"/>
    <w:rsid w:val="00722956"/>
    <w:rsid w:val="00722F66"/>
    <w:rsid w:val="0072487A"/>
    <w:rsid w:val="00727A26"/>
    <w:rsid w:val="007316B1"/>
    <w:rsid w:val="007325E5"/>
    <w:rsid w:val="007335B8"/>
    <w:rsid w:val="007353BD"/>
    <w:rsid w:val="007366E6"/>
    <w:rsid w:val="0073675C"/>
    <w:rsid w:val="00736D67"/>
    <w:rsid w:val="00743EE1"/>
    <w:rsid w:val="0074413B"/>
    <w:rsid w:val="0074712F"/>
    <w:rsid w:val="0074792D"/>
    <w:rsid w:val="0075119C"/>
    <w:rsid w:val="007514ED"/>
    <w:rsid w:val="00751A48"/>
    <w:rsid w:val="00752607"/>
    <w:rsid w:val="007527B1"/>
    <w:rsid w:val="0075342B"/>
    <w:rsid w:val="007550D6"/>
    <w:rsid w:val="007551DB"/>
    <w:rsid w:val="00756844"/>
    <w:rsid w:val="00756DC3"/>
    <w:rsid w:val="00756E19"/>
    <w:rsid w:val="00757153"/>
    <w:rsid w:val="00757A56"/>
    <w:rsid w:val="00757AC8"/>
    <w:rsid w:val="00757B18"/>
    <w:rsid w:val="00757D9F"/>
    <w:rsid w:val="00761686"/>
    <w:rsid w:val="007617CD"/>
    <w:rsid w:val="0076235A"/>
    <w:rsid w:val="007631E7"/>
    <w:rsid w:val="007642EF"/>
    <w:rsid w:val="00766798"/>
    <w:rsid w:val="007671AB"/>
    <w:rsid w:val="00767417"/>
    <w:rsid w:val="00767B87"/>
    <w:rsid w:val="00770AF8"/>
    <w:rsid w:val="00770EBB"/>
    <w:rsid w:val="0077161A"/>
    <w:rsid w:val="00771B07"/>
    <w:rsid w:val="00773FCC"/>
    <w:rsid w:val="00774DDF"/>
    <w:rsid w:val="007751F8"/>
    <w:rsid w:val="0077555E"/>
    <w:rsid w:val="00775A35"/>
    <w:rsid w:val="00775EBC"/>
    <w:rsid w:val="0077639E"/>
    <w:rsid w:val="0077748A"/>
    <w:rsid w:val="007817E9"/>
    <w:rsid w:val="0078254E"/>
    <w:rsid w:val="0078268E"/>
    <w:rsid w:val="00783B58"/>
    <w:rsid w:val="00784725"/>
    <w:rsid w:val="00784B7A"/>
    <w:rsid w:val="00785930"/>
    <w:rsid w:val="007874B6"/>
    <w:rsid w:val="00787DB5"/>
    <w:rsid w:val="00790D7C"/>
    <w:rsid w:val="00790E3C"/>
    <w:rsid w:val="0079118D"/>
    <w:rsid w:val="00792CC9"/>
    <w:rsid w:val="00795153"/>
    <w:rsid w:val="00796D0F"/>
    <w:rsid w:val="007979F6"/>
    <w:rsid w:val="00797C63"/>
    <w:rsid w:val="007A0585"/>
    <w:rsid w:val="007A17F9"/>
    <w:rsid w:val="007A39ED"/>
    <w:rsid w:val="007A47DE"/>
    <w:rsid w:val="007A5CD9"/>
    <w:rsid w:val="007A7C91"/>
    <w:rsid w:val="007B06B7"/>
    <w:rsid w:val="007B078A"/>
    <w:rsid w:val="007B3D1E"/>
    <w:rsid w:val="007B4C66"/>
    <w:rsid w:val="007B6822"/>
    <w:rsid w:val="007C0CBE"/>
    <w:rsid w:val="007C1800"/>
    <w:rsid w:val="007C1F29"/>
    <w:rsid w:val="007C232D"/>
    <w:rsid w:val="007C2A94"/>
    <w:rsid w:val="007C3782"/>
    <w:rsid w:val="007C4059"/>
    <w:rsid w:val="007C41C4"/>
    <w:rsid w:val="007C4741"/>
    <w:rsid w:val="007C4D94"/>
    <w:rsid w:val="007C51EA"/>
    <w:rsid w:val="007C6207"/>
    <w:rsid w:val="007C7785"/>
    <w:rsid w:val="007D232A"/>
    <w:rsid w:val="007D253D"/>
    <w:rsid w:val="007D396E"/>
    <w:rsid w:val="007D44C2"/>
    <w:rsid w:val="007D5B29"/>
    <w:rsid w:val="007D6433"/>
    <w:rsid w:val="007D667D"/>
    <w:rsid w:val="007D6D15"/>
    <w:rsid w:val="007D7AAA"/>
    <w:rsid w:val="007E2913"/>
    <w:rsid w:val="007E4A1A"/>
    <w:rsid w:val="007E579D"/>
    <w:rsid w:val="007E5806"/>
    <w:rsid w:val="007E6671"/>
    <w:rsid w:val="007E67B3"/>
    <w:rsid w:val="007E6991"/>
    <w:rsid w:val="007E7BE0"/>
    <w:rsid w:val="007E7F1A"/>
    <w:rsid w:val="007F1652"/>
    <w:rsid w:val="007F2057"/>
    <w:rsid w:val="007F323D"/>
    <w:rsid w:val="007F3E72"/>
    <w:rsid w:val="007F402F"/>
    <w:rsid w:val="007F5121"/>
    <w:rsid w:val="007F51F0"/>
    <w:rsid w:val="007F55AD"/>
    <w:rsid w:val="00800184"/>
    <w:rsid w:val="0080366F"/>
    <w:rsid w:val="00806DDD"/>
    <w:rsid w:val="00807948"/>
    <w:rsid w:val="00807CD4"/>
    <w:rsid w:val="00811587"/>
    <w:rsid w:val="0081227A"/>
    <w:rsid w:val="00812748"/>
    <w:rsid w:val="00812C27"/>
    <w:rsid w:val="008137AA"/>
    <w:rsid w:val="00815223"/>
    <w:rsid w:val="008160BD"/>
    <w:rsid w:val="0081622E"/>
    <w:rsid w:val="00822855"/>
    <w:rsid w:val="00822E43"/>
    <w:rsid w:val="008245CC"/>
    <w:rsid w:val="00825057"/>
    <w:rsid w:val="0082572B"/>
    <w:rsid w:val="00826BAB"/>
    <w:rsid w:val="00826EF7"/>
    <w:rsid w:val="00827C8D"/>
    <w:rsid w:val="00831892"/>
    <w:rsid w:val="0083334B"/>
    <w:rsid w:val="008340D9"/>
    <w:rsid w:val="00834775"/>
    <w:rsid w:val="00834B6F"/>
    <w:rsid w:val="00835311"/>
    <w:rsid w:val="008355C1"/>
    <w:rsid w:val="0084094F"/>
    <w:rsid w:val="00840E9D"/>
    <w:rsid w:val="0084115B"/>
    <w:rsid w:val="00841215"/>
    <w:rsid w:val="00842B97"/>
    <w:rsid w:val="00843761"/>
    <w:rsid w:val="008437A4"/>
    <w:rsid w:val="008437A5"/>
    <w:rsid w:val="00845FC8"/>
    <w:rsid w:val="00846C18"/>
    <w:rsid w:val="00846D42"/>
    <w:rsid w:val="00852A70"/>
    <w:rsid w:val="00854172"/>
    <w:rsid w:val="00856D50"/>
    <w:rsid w:val="00857094"/>
    <w:rsid w:val="00857F60"/>
    <w:rsid w:val="008603CD"/>
    <w:rsid w:val="00860969"/>
    <w:rsid w:val="008658CC"/>
    <w:rsid w:val="00866790"/>
    <w:rsid w:val="00866896"/>
    <w:rsid w:val="008679E7"/>
    <w:rsid w:val="00871284"/>
    <w:rsid w:val="00873715"/>
    <w:rsid w:val="008742A7"/>
    <w:rsid w:val="008760F4"/>
    <w:rsid w:val="00876FCE"/>
    <w:rsid w:val="00876FE5"/>
    <w:rsid w:val="008772C8"/>
    <w:rsid w:val="00877912"/>
    <w:rsid w:val="00877B2D"/>
    <w:rsid w:val="0088090E"/>
    <w:rsid w:val="0088193B"/>
    <w:rsid w:val="00886DDA"/>
    <w:rsid w:val="0088726A"/>
    <w:rsid w:val="008905B6"/>
    <w:rsid w:val="00893B74"/>
    <w:rsid w:val="00893B8A"/>
    <w:rsid w:val="00894481"/>
    <w:rsid w:val="008946FC"/>
    <w:rsid w:val="0089484E"/>
    <w:rsid w:val="00894C64"/>
    <w:rsid w:val="00895C88"/>
    <w:rsid w:val="00895DC1"/>
    <w:rsid w:val="008A0414"/>
    <w:rsid w:val="008A0ACB"/>
    <w:rsid w:val="008A0F0D"/>
    <w:rsid w:val="008A1470"/>
    <w:rsid w:val="008A150A"/>
    <w:rsid w:val="008A220A"/>
    <w:rsid w:val="008A29CC"/>
    <w:rsid w:val="008A3FA2"/>
    <w:rsid w:val="008A5DEC"/>
    <w:rsid w:val="008A638B"/>
    <w:rsid w:val="008A7F50"/>
    <w:rsid w:val="008B0046"/>
    <w:rsid w:val="008B0144"/>
    <w:rsid w:val="008B0450"/>
    <w:rsid w:val="008B0C4B"/>
    <w:rsid w:val="008B0FDF"/>
    <w:rsid w:val="008B28B7"/>
    <w:rsid w:val="008B32C7"/>
    <w:rsid w:val="008B336F"/>
    <w:rsid w:val="008B4CA8"/>
    <w:rsid w:val="008B5CCF"/>
    <w:rsid w:val="008B6225"/>
    <w:rsid w:val="008B7675"/>
    <w:rsid w:val="008C17C8"/>
    <w:rsid w:val="008C2998"/>
    <w:rsid w:val="008C3100"/>
    <w:rsid w:val="008C5B17"/>
    <w:rsid w:val="008D0239"/>
    <w:rsid w:val="008D023A"/>
    <w:rsid w:val="008D0584"/>
    <w:rsid w:val="008D1807"/>
    <w:rsid w:val="008D34D5"/>
    <w:rsid w:val="008D356B"/>
    <w:rsid w:val="008D37FC"/>
    <w:rsid w:val="008D4377"/>
    <w:rsid w:val="008D57F5"/>
    <w:rsid w:val="008E1BA9"/>
    <w:rsid w:val="008E3500"/>
    <w:rsid w:val="008E4409"/>
    <w:rsid w:val="008E4EA1"/>
    <w:rsid w:val="008E6420"/>
    <w:rsid w:val="008E6C9F"/>
    <w:rsid w:val="008E6F09"/>
    <w:rsid w:val="008F0E3A"/>
    <w:rsid w:val="008F2CB7"/>
    <w:rsid w:val="008F35CA"/>
    <w:rsid w:val="008F4FAA"/>
    <w:rsid w:val="008F56E0"/>
    <w:rsid w:val="00901763"/>
    <w:rsid w:val="00902144"/>
    <w:rsid w:val="00903797"/>
    <w:rsid w:val="00903E9F"/>
    <w:rsid w:val="009052C1"/>
    <w:rsid w:val="0090638C"/>
    <w:rsid w:val="009064B9"/>
    <w:rsid w:val="009068E2"/>
    <w:rsid w:val="009075BA"/>
    <w:rsid w:val="009135F2"/>
    <w:rsid w:val="00913978"/>
    <w:rsid w:val="00914992"/>
    <w:rsid w:val="0091596E"/>
    <w:rsid w:val="00916384"/>
    <w:rsid w:val="009177EC"/>
    <w:rsid w:val="00917D1B"/>
    <w:rsid w:val="00921747"/>
    <w:rsid w:val="00923F02"/>
    <w:rsid w:val="00924089"/>
    <w:rsid w:val="00924225"/>
    <w:rsid w:val="009256EB"/>
    <w:rsid w:val="009268CD"/>
    <w:rsid w:val="00930835"/>
    <w:rsid w:val="00930F56"/>
    <w:rsid w:val="009311A3"/>
    <w:rsid w:val="00931906"/>
    <w:rsid w:val="0093402F"/>
    <w:rsid w:val="009340A0"/>
    <w:rsid w:val="009340EA"/>
    <w:rsid w:val="00934C50"/>
    <w:rsid w:val="00940EAD"/>
    <w:rsid w:val="00944153"/>
    <w:rsid w:val="00944CA2"/>
    <w:rsid w:val="009452AE"/>
    <w:rsid w:val="00945D43"/>
    <w:rsid w:val="009464A9"/>
    <w:rsid w:val="00946952"/>
    <w:rsid w:val="009469BB"/>
    <w:rsid w:val="00946A39"/>
    <w:rsid w:val="009472E4"/>
    <w:rsid w:val="00950000"/>
    <w:rsid w:val="00951531"/>
    <w:rsid w:val="00951C18"/>
    <w:rsid w:val="00951CBA"/>
    <w:rsid w:val="00952F0B"/>
    <w:rsid w:val="00952F1B"/>
    <w:rsid w:val="00953B39"/>
    <w:rsid w:val="009562BB"/>
    <w:rsid w:val="0095677C"/>
    <w:rsid w:val="0095689D"/>
    <w:rsid w:val="00956D06"/>
    <w:rsid w:val="0096130C"/>
    <w:rsid w:val="00962276"/>
    <w:rsid w:val="00962D0D"/>
    <w:rsid w:val="0096515C"/>
    <w:rsid w:val="009651B7"/>
    <w:rsid w:val="00965F17"/>
    <w:rsid w:val="00966795"/>
    <w:rsid w:val="009702D0"/>
    <w:rsid w:val="00970DC9"/>
    <w:rsid w:val="009716C2"/>
    <w:rsid w:val="009734EF"/>
    <w:rsid w:val="009752C9"/>
    <w:rsid w:val="009759C4"/>
    <w:rsid w:val="009763A1"/>
    <w:rsid w:val="0097647D"/>
    <w:rsid w:val="009768F0"/>
    <w:rsid w:val="00980B50"/>
    <w:rsid w:val="00982335"/>
    <w:rsid w:val="009834D5"/>
    <w:rsid w:val="00985017"/>
    <w:rsid w:val="00986170"/>
    <w:rsid w:val="00986D56"/>
    <w:rsid w:val="00986DF2"/>
    <w:rsid w:val="00987F6E"/>
    <w:rsid w:val="00990927"/>
    <w:rsid w:val="0099254E"/>
    <w:rsid w:val="0099259F"/>
    <w:rsid w:val="009927E0"/>
    <w:rsid w:val="00994E64"/>
    <w:rsid w:val="009950F0"/>
    <w:rsid w:val="00995B81"/>
    <w:rsid w:val="009967AE"/>
    <w:rsid w:val="00996903"/>
    <w:rsid w:val="00996BF1"/>
    <w:rsid w:val="00996F2E"/>
    <w:rsid w:val="00997A0E"/>
    <w:rsid w:val="009A001D"/>
    <w:rsid w:val="009A089E"/>
    <w:rsid w:val="009A09C3"/>
    <w:rsid w:val="009A35A9"/>
    <w:rsid w:val="009A5AA1"/>
    <w:rsid w:val="009A7C65"/>
    <w:rsid w:val="009B039A"/>
    <w:rsid w:val="009B05D0"/>
    <w:rsid w:val="009B2643"/>
    <w:rsid w:val="009B3265"/>
    <w:rsid w:val="009B369B"/>
    <w:rsid w:val="009B5DFE"/>
    <w:rsid w:val="009B61B5"/>
    <w:rsid w:val="009B6334"/>
    <w:rsid w:val="009C164D"/>
    <w:rsid w:val="009C165A"/>
    <w:rsid w:val="009C1C89"/>
    <w:rsid w:val="009C3192"/>
    <w:rsid w:val="009C3B79"/>
    <w:rsid w:val="009C5ECA"/>
    <w:rsid w:val="009D07E2"/>
    <w:rsid w:val="009D26CF"/>
    <w:rsid w:val="009D638B"/>
    <w:rsid w:val="009D6AD7"/>
    <w:rsid w:val="009D7AD2"/>
    <w:rsid w:val="009E17BB"/>
    <w:rsid w:val="009E43B6"/>
    <w:rsid w:val="009E4CE6"/>
    <w:rsid w:val="009E506A"/>
    <w:rsid w:val="009E5C24"/>
    <w:rsid w:val="009E7720"/>
    <w:rsid w:val="009F0C72"/>
    <w:rsid w:val="009F1001"/>
    <w:rsid w:val="009F1A69"/>
    <w:rsid w:val="009F1B03"/>
    <w:rsid w:val="009F391C"/>
    <w:rsid w:val="009F51FB"/>
    <w:rsid w:val="009F548D"/>
    <w:rsid w:val="009F76DB"/>
    <w:rsid w:val="00A0002A"/>
    <w:rsid w:val="00A00770"/>
    <w:rsid w:val="00A011D5"/>
    <w:rsid w:val="00A01848"/>
    <w:rsid w:val="00A01E8C"/>
    <w:rsid w:val="00A0252C"/>
    <w:rsid w:val="00A027E4"/>
    <w:rsid w:val="00A03B7B"/>
    <w:rsid w:val="00A03E46"/>
    <w:rsid w:val="00A07CC7"/>
    <w:rsid w:val="00A104D1"/>
    <w:rsid w:val="00A11133"/>
    <w:rsid w:val="00A12432"/>
    <w:rsid w:val="00A12E64"/>
    <w:rsid w:val="00A14E61"/>
    <w:rsid w:val="00A151C6"/>
    <w:rsid w:val="00A17F11"/>
    <w:rsid w:val="00A21E18"/>
    <w:rsid w:val="00A22C8D"/>
    <w:rsid w:val="00A24778"/>
    <w:rsid w:val="00A24C1A"/>
    <w:rsid w:val="00A253C6"/>
    <w:rsid w:val="00A27012"/>
    <w:rsid w:val="00A27709"/>
    <w:rsid w:val="00A30608"/>
    <w:rsid w:val="00A32616"/>
    <w:rsid w:val="00A33773"/>
    <w:rsid w:val="00A343B2"/>
    <w:rsid w:val="00A347A3"/>
    <w:rsid w:val="00A356D6"/>
    <w:rsid w:val="00A35822"/>
    <w:rsid w:val="00A36B1F"/>
    <w:rsid w:val="00A3719D"/>
    <w:rsid w:val="00A407F5"/>
    <w:rsid w:val="00A40D90"/>
    <w:rsid w:val="00A439A0"/>
    <w:rsid w:val="00A43CD4"/>
    <w:rsid w:val="00A43F3F"/>
    <w:rsid w:val="00A45C9B"/>
    <w:rsid w:val="00A51158"/>
    <w:rsid w:val="00A513E0"/>
    <w:rsid w:val="00A5236D"/>
    <w:rsid w:val="00A539EB"/>
    <w:rsid w:val="00A54595"/>
    <w:rsid w:val="00A55068"/>
    <w:rsid w:val="00A55441"/>
    <w:rsid w:val="00A5760E"/>
    <w:rsid w:val="00A57826"/>
    <w:rsid w:val="00A603CD"/>
    <w:rsid w:val="00A607E5"/>
    <w:rsid w:val="00A626B5"/>
    <w:rsid w:val="00A63AC3"/>
    <w:rsid w:val="00A64193"/>
    <w:rsid w:val="00A642AC"/>
    <w:rsid w:val="00A64701"/>
    <w:rsid w:val="00A649D1"/>
    <w:rsid w:val="00A65486"/>
    <w:rsid w:val="00A65ED2"/>
    <w:rsid w:val="00A65FAA"/>
    <w:rsid w:val="00A66A4B"/>
    <w:rsid w:val="00A66D42"/>
    <w:rsid w:val="00A70A23"/>
    <w:rsid w:val="00A710F0"/>
    <w:rsid w:val="00A71311"/>
    <w:rsid w:val="00A72653"/>
    <w:rsid w:val="00A73601"/>
    <w:rsid w:val="00A73A12"/>
    <w:rsid w:val="00A7417F"/>
    <w:rsid w:val="00A743DD"/>
    <w:rsid w:val="00A7475C"/>
    <w:rsid w:val="00A755B3"/>
    <w:rsid w:val="00A77601"/>
    <w:rsid w:val="00A803FD"/>
    <w:rsid w:val="00A80687"/>
    <w:rsid w:val="00A81048"/>
    <w:rsid w:val="00A81420"/>
    <w:rsid w:val="00A818C1"/>
    <w:rsid w:val="00A81CC3"/>
    <w:rsid w:val="00A82262"/>
    <w:rsid w:val="00A8259D"/>
    <w:rsid w:val="00A85E8D"/>
    <w:rsid w:val="00A8656E"/>
    <w:rsid w:val="00A86C7D"/>
    <w:rsid w:val="00A871D6"/>
    <w:rsid w:val="00A8759A"/>
    <w:rsid w:val="00A8764B"/>
    <w:rsid w:val="00A87ED1"/>
    <w:rsid w:val="00A9063D"/>
    <w:rsid w:val="00A92A88"/>
    <w:rsid w:val="00A932BF"/>
    <w:rsid w:val="00A93EF2"/>
    <w:rsid w:val="00A960C4"/>
    <w:rsid w:val="00A960FA"/>
    <w:rsid w:val="00A97CA6"/>
    <w:rsid w:val="00AA0F94"/>
    <w:rsid w:val="00AA0FDF"/>
    <w:rsid w:val="00AA14BE"/>
    <w:rsid w:val="00AA1E9E"/>
    <w:rsid w:val="00AA22E1"/>
    <w:rsid w:val="00AA2AA0"/>
    <w:rsid w:val="00AA2E3D"/>
    <w:rsid w:val="00AA3C47"/>
    <w:rsid w:val="00AA4BD8"/>
    <w:rsid w:val="00AA5C67"/>
    <w:rsid w:val="00AA6A84"/>
    <w:rsid w:val="00AB02E7"/>
    <w:rsid w:val="00AB3845"/>
    <w:rsid w:val="00AB47C7"/>
    <w:rsid w:val="00AB78AC"/>
    <w:rsid w:val="00AB7D48"/>
    <w:rsid w:val="00AB7E08"/>
    <w:rsid w:val="00AC04DD"/>
    <w:rsid w:val="00AC0E22"/>
    <w:rsid w:val="00AC205B"/>
    <w:rsid w:val="00AC2351"/>
    <w:rsid w:val="00AC3F08"/>
    <w:rsid w:val="00AC4DFE"/>
    <w:rsid w:val="00AC5199"/>
    <w:rsid w:val="00AC6958"/>
    <w:rsid w:val="00AC6FBF"/>
    <w:rsid w:val="00AC749F"/>
    <w:rsid w:val="00AC7E69"/>
    <w:rsid w:val="00AD0F58"/>
    <w:rsid w:val="00AD1187"/>
    <w:rsid w:val="00AD4DCA"/>
    <w:rsid w:val="00AD57CB"/>
    <w:rsid w:val="00AD6193"/>
    <w:rsid w:val="00AD6FF4"/>
    <w:rsid w:val="00AD782A"/>
    <w:rsid w:val="00AD7851"/>
    <w:rsid w:val="00AD7C32"/>
    <w:rsid w:val="00AE01DC"/>
    <w:rsid w:val="00AE0AA5"/>
    <w:rsid w:val="00AE3E6C"/>
    <w:rsid w:val="00AE5AF7"/>
    <w:rsid w:val="00AE6B17"/>
    <w:rsid w:val="00AE6F1B"/>
    <w:rsid w:val="00AE7F97"/>
    <w:rsid w:val="00AF0A72"/>
    <w:rsid w:val="00AF0B8B"/>
    <w:rsid w:val="00AF0DCA"/>
    <w:rsid w:val="00AF1814"/>
    <w:rsid w:val="00AF1B03"/>
    <w:rsid w:val="00AF2498"/>
    <w:rsid w:val="00AF24BE"/>
    <w:rsid w:val="00AF2FA1"/>
    <w:rsid w:val="00AF4AB7"/>
    <w:rsid w:val="00B0109A"/>
    <w:rsid w:val="00B014A5"/>
    <w:rsid w:val="00B01C97"/>
    <w:rsid w:val="00B01FF7"/>
    <w:rsid w:val="00B03D6C"/>
    <w:rsid w:val="00B03EE8"/>
    <w:rsid w:val="00B0478F"/>
    <w:rsid w:val="00B05BC7"/>
    <w:rsid w:val="00B1119F"/>
    <w:rsid w:val="00B11946"/>
    <w:rsid w:val="00B12155"/>
    <w:rsid w:val="00B15101"/>
    <w:rsid w:val="00B15789"/>
    <w:rsid w:val="00B24F6A"/>
    <w:rsid w:val="00B26F63"/>
    <w:rsid w:val="00B27CE5"/>
    <w:rsid w:val="00B3156C"/>
    <w:rsid w:val="00B328AA"/>
    <w:rsid w:val="00B32B4A"/>
    <w:rsid w:val="00B34424"/>
    <w:rsid w:val="00B375A7"/>
    <w:rsid w:val="00B37930"/>
    <w:rsid w:val="00B37EA7"/>
    <w:rsid w:val="00B4130F"/>
    <w:rsid w:val="00B44772"/>
    <w:rsid w:val="00B45721"/>
    <w:rsid w:val="00B4587E"/>
    <w:rsid w:val="00B47930"/>
    <w:rsid w:val="00B509B1"/>
    <w:rsid w:val="00B50F93"/>
    <w:rsid w:val="00B535D1"/>
    <w:rsid w:val="00B55ACB"/>
    <w:rsid w:val="00B566FC"/>
    <w:rsid w:val="00B56D37"/>
    <w:rsid w:val="00B573FA"/>
    <w:rsid w:val="00B57670"/>
    <w:rsid w:val="00B61178"/>
    <w:rsid w:val="00B61DE1"/>
    <w:rsid w:val="00B6201D"/>
    <w:rsid w:val="00B62140"/>
    <w:rsid w:val="00B65FCE"/>
    <w:rsid w:val="00B65FFB"/>
    <w:rsid w:val="00B671ED"/>
    <w:rsid w:val="00B6720E"/>
    <w:rsid w:val="00B71269"/>
    <w:rsid w:val="00B71A69"/>
    <w:rsid w:val="00B74028"/>
    <w:rsid w:val="00B74051"/>
    <w:rsid w:val="00B7432F"/>
    <w:rsid w:val="00B7433E"/>
    <w:rsid w:val="00B7469D"/>
    <w:rsid w:val="00B74D02"/>
    <w:rsid w:val="00B8010A"/>
    <w:rsid w:val="00B803E9"/>
    <w:rsid w:val="00B82898"/>
    <w:rsid w:val="00B82C72"/>
    <w:rsid w:val="00B83606"/>
    <w:rsid w:val="00B844AC"/>
    <w:rsid w:val="00B873B9"/>
    <w:rsid w:val="00B90E33"/>
    <w:rsid w:val="00B92C5D"/>
    <w:rsid w:val="00B93A42"/>
    <w:rsid w:val="00B9411E"/>
    <w:rsid w:val="00B94403"/>
    <w:rsid w:val="00B94C2F"/>
    <w:rsid w:val="00B959E9"/>
    <w:rsid w:val="00B95E7F"/>
    <w:rsid w:val="00B96B1A"/>
    <w:rsid w:val="00BA215D"/>
    <w:rsid w:val="00BA2574"/>
    <w:rsid w:val="00BA4B8B"/>
    <w:rsid w:val="00BA63D3"/>
    <w:rsid w:val="00BA681F"/>
    <w:rsid w:val="00BA7366"/>
    <w:rsid w:val="00BA7CD5"/>
    <w:rsid w:val="00BB11CE"/>
    <w:rsid w:val="00BB3922"/>
    <w:rsid w:val="00BB5A35"/>
    <w:rsid w:val="00BC04CA"/>
    <w:rsid w:val="00BC0EBA"/>
    <w:rsid w:val="00BC1541"/>
    <w:rsid w:val="00BC2D4B"/>
    <w:rsid w:val="00BC37C6"/>
    <w:rsid w:val="00BC3EEA"/>
    <w:rsid w:val="00BC4148"/>
    <w:rsid w:val="00BC43D6"/>
    <w:rsid w:val="00BC5774"/>
    <w:rsid w:val="00BC58B8"/>
    <w:rsid w:val="00BC58E8"/>
    <w:rsid w:val="00BD05F3"/>
    <w:rsid w:val="00BD0718"/>
    <w:rsid w:val="00BD118E"/>
    <w:rsid w:val="00BD1863"/>
    <w:rsid w:val="00BD30AF"/>
    <w:rsid w:val="00BD350C"/>
    <w:rsid w:val="00BD3BFC"/>
    <w:rsid w:val="00BD4A26"/>
    <w:rsid w:val="00BD4A67"/>
    <w:rsid w:val="00BD4EE2"/>
    <w:rsid w:val="00BD5324"/>
    <w:rsid w:val="00BD6991"/>
    <w:rsid w:val="00BD7436"/>
    <w:rsid w:val="00BD7EFF"/>
    <w:rsid w:val="00BE1000"/>
    <w:rsid w:val="00BE24F2"/>
    <w:rsid w:val="00BE3998"/>
    <w:rsid w:val="00BE457D"/>
    <w:rsid w:val="00BE4F0C"/>
    <w:rsid w:val="00BE6701"/>
    <w:rsid w:val="00BE7DCD"/>
    <w:rsid w:val="00BE7E59"/>
    <w:rsid w:val="00BF003A"/>
    <w:rsid w:val="00BF17C6"/>
    <w:rsid w:val="00BF39C8"/>
    <w:rsid w:val="00BF4C8A"/>
    <w:rsid w:val="00BF56A6"/>
    <w:rsid w:val="00BF5A13"/>
    <w:rsid w:val="00BF69CA"/>
    <w:rsid w:val="00BF6D46"/>
    <w:rsid w:val="00BF7146"/>
    <w:rsid w:val="00BF729B"/>
    <w:rsid w:val="00BF7CB5"/>
    <w:rsid w:val="00C01407"/>
    <w:rsid w:val="00C01ADE"/>
    <w:rsid w:val="00C01FD7"/>
    <w:rsid w:val="00C02252"/>
    <w:rsid w:val="00C022CE"/>
    <w:rsid w:val="00C04188"/>
    <w:rsid w:val="00C04473"/>
    <w:rsid w:val="00C047F8"/>
    <w:rsid w:val="00C06632"/>
    <w:rsid w:val="00C07E4A"/>
    <w:rsid w:val="00C10836"/>
    <w:rsid w:val="00C10E59"/>
    <w:rsid w:val="00C11D74"/>
    <w:rsid w:val="00C12485"/>
    <w:rsid w:val="00C137B6"/>
    <w:rsid w:val="00C14BB7"/>
    <w:rsid w:val="00C1518F"/>
    <w:rsid w:val="00C151FC"/>
    <w:rsid w:val="00C17610"/>
    <w:rsid w:val="00C223B8"/>
    <w:rsid w:val="00C235BC"/>
    <w:rsid w:val="00C26404"/>
    <w:rsid w:val="00C31101"/>
    <w:rsid w:val="00C32D3A"/>
    <w:rsid w:val="00C35B7D"/>
    <w:rsid w:val="00C35CCD"/>
    <w:rsid w:val="00C36C25"/>
    <w:rsid w:val="00C41DD5"/>
    <w:rsid w:val="00C444EB"/>
    <w:rsid w:val="00C44978"/>
    <w:rsid w:val="00C454E9"/>
    <w:rsid w:val="00C45945"/>
    <w:rsid w:val="00C45A3B"/>
    <w:rsid w:val="00C46393"/>
    <w:rsid w:val="00C46619"/>
    <w:rsid w:val="00C47E96"/>
    <w:rsid w:val="00C5098E"/>
    <w:rsid w:val="00C51BA3"/>
    <w:rsid w:val="00C52F4C"/>
    <w:rsid w:val="00C53126"/>
    <w:rsid w:val="00C538B4"/>
    <w:rsid w:val="00C555C9"/>
    <w:rsid w:val="00C6084B"/>
    <w:rsid w:val="00C61EA6"/>
    <w:rsid w:val="00C6644A"/>
    <w:rsid w:val="00C67C98"/>
    <w:rsid w:val="00C67DF6"/>
    <w:rsid w:val="00C70C9C"/>
    <w:rsid w:val="00C71EF4"/>
    <w:rsid w:val="00C725C8"/>
    <w:rsid w:val="00C72923"/>
    <w:rsid w:val="00C74E81"/>
    <w:rsid w:val="00C767A0"/>
    <w:rsid w:val="00C82735"/>
    <w:rsid w:val="00C83A29"/>
    <w:rsid w:val="00C83AAF"/>
    <w:rsid w:val="00C843B9"/>
    <w:rsid w:val="00C849AC"/>
    <w:rsid w:val="00C85CF8"/>
    <w:rsid w:val="00C85DE0"/>
    <w:rsid w:val="00C85E04"/>
    <w:rsid w:val="00C873D0"/>
    <w:rsid w:val="00C913F0"/>
    <w:rsid w:val="00C95E33"/>
    <w:rsid w:val="00C962C1"/>
    <w:rsid w:val="00C962E5"/>
    <w:rsid w:val="00C962FD"/>
    <w:rsid w:val="00C96322"/>
    <w:rsid w:val="00C966E1"/>
    <w:rsid w:val="00CA01BE"/>
    <w:rsid w:val="00CA17F4"/>
    <w:rsid w:val="00CA1999"/>
    <w:rsid w:val="00CA342A"/>
    <w:rsid w:val="00CA5848"/>
    <w:rsid w:val="00CA5F90"/>
    <w:rsid w:val="00CA5FCA"/>
    <w:rsid w:val="00CB002A"/>
    <w:rsid w:val="00CB0912"/>
    <w:rsid w:val="00CB0EF9"/>
    <w:rsid w:val="00CB17EC"/>
    <w:rsid w:val="00CB1C06"/>
    <w:rsid w:val="00CB22E3"/>
    <w:rsid w:val="00CB289D"/>
    <w:rsid w:val="00CB34A8"/>
    <w:rsid w:val="00CB5A66"/>
    <w:rsid w:val="00CB62C0"/>
    <w:rsid w:val="00CC297D"/>
    <w:rsid w:val="00CC4E82"/>
    <w:rsid w:val="00CC5AD1"/>
    <w:rsid w:val="00CC5E2E"/>
    <w:rsid w:val="00CC6115"/>
    <w:rsid w:val="00CD07E2"/>
    <w:rsid w:val="00CD292F"/>
    <w:rsid w:val="00CD3CBC"/>
    <w:rsid w:val="00CD475A"/>
    <w:rsid w:val="00CD4A6F"/>
    <w:rsid w:val="00CD5C4C"/>
    <w:rsid w:val="00CD6CD9"/>
    <w:rsid w:val="00CD6D73"/>
    <w:rsid w:val="00CD76CC"/>
    <w:rsid w:val="00CD7953"/>
    <w:rsid w:val="00CD799C"/>
    <w:rsid w:val="00CE0767"/>
    <w:rsid w:val="00CE206B"/>
    <w:rsid w:val="00CE2DDA"/>
    <w:rsid w:val="00CE2F71"/>
    <w:rsid w:val="00CE6ACC"/>
    <w:rsid w:val="00CE767D"/>
    <w:rsid w:val="00CE7ACA"/>
    <w:rsid w:val="00CE7AE5"/>
    <w:rsid w:val="00CF071B"/>
    <w:rsid w:val="00CF0CDA"/>
    <w:rsid w:val="00CF0ED7"/>
    <w:rsid w:val="00CF12EE"/>
    <w:rsid w:val="00CF17AC"/>
    <w:rsid w:val="00CF4716"/>
    <w:rsid w:val="00CF500B"/>
    <w:rsid w:val="00CF51C6"/>
    <w:rsid w:val="00CF64A2"/>
    <w:rsid w:val="00CF6CF4"/>
    <w:rsid w:val="00CF7EEE"/>
    <w:rsid w:val="00D00FCF"/>
    <w:rsid w:val="00D01611"/>
    <w:rsid w:val="00D04532"/>
    <w:rsid w:val="00D0471C"/>
    <w:rsid w:val="00D0480B"/>
    <w:rsid w:val="00D05B16"/>
    <w:rsid w:val="00D06876"/>
    <w:rsid w:val="00D16485"/>
    <w:rsid w:val="00D16B06"/>
    <w:rsid w:val="00D16DD9"/>
    <w:rsid w:val="00D17107"/>
    <w:rsid w:val="00D20746"/>
    <w:rsid w:val="00D2215A"/>
    <w:rsid w:val="00D22A7D"/>
    <w:rsid w:val="00D24953"/>
    <w:rsid w:val="00D2517D"/>
    <w:rsid w:val="00D27B6A"/>
    <w:rsid w:val="00D305FF"/>
    <w:rsid w:val="00D306AF"/>
    <w:rsid w:val="00D31515"/>
    <w:rsid w:val="00D315A9"/>
    <w:rsid w:val="00D33498"/>
    <w:rsid w:val="00D33D4E"/>
    <w:rsid w:val="00D34298"/>
    <w:rsid w:val="00D34351"/>
    <w:rsid w:val="00D34900"/>
    <w:rsid w:val="00D34EA2"/>
    <w:rsid w:val="00D3701F"/>
    <w:rsid w:val="00D37EFA"/>
    <w:rsid w:val="00D414F4"/>
    <w:rsid w:val="00D41F36"/>
    <w:rsid w:val="00D44C4A"/>
    <w:rsid w:val="00D4513B"/>
    <w:rsid w:val="00D508CC"/>
    <w:rsid w:val="00D50CD0"/>
    <w:rsid w:val="00D50D74"/>
    <w:rsid w:val="00D513A9"/>
    <w:rsid w:val="00D54A36"/>
    <w:rsid w:val="00D560D9"/>
    <w:rsid w:val="00D569E6"/>
    <w:rsid w:val="00D56D19"/>
    <w:rsid w:val="00D56E9E"/>
    <w:rsid w:val="00D57D1B"/>
    <w:rsid w:val="00D57F88"/>
    <w:rsid w:val="00D61494"/>
    <w:rsid w:val="00D61547"/>
    <w:rsid w:val="00D62621"/>
    <w:rsid w:val="00D62749"/>
    <w:rsid w:val="00D638F6"/>
    <w:rsid w:val="00D67ABD"/>
    <w:rsid w:val="00D70A87"/>
    <w:rsid w:val="00D72210"/>
    <w:rsid w:val="00D746C3"/>
    <w:rsid w:val="00D75B6D"/>
    <w:rsid w:val="00D812AB"/>
    <w:rsid w:val="00D82985"/>
    <w:rsid w:val="00D83851"/>
    <w:rsid w:val="00D8567C"/>
    <w:rsid w:val="00D85B60"/>
    <w:rsid w:val="00D904DC"/>
    <w:rsid w:val="00D909BB"/>
    <w:rsid w:val="00D90EC9"/>
    <w:rsid w:val="00D91342"/>
    <w:rsid w:val="00D9175D"/>
    <w:rsid w:val="00D9393F"/>
    <w:rsid w:val="00D94582"/>
    <w:rsid w:val="00D95767"/>
    <w:rsid w:val="00D96296"/>
    <w:rsid w:val="00D96B62"/>
    <w:rsid w:val="00DA01C9"/>
    <w:rsid w:val="00DA04EA"/>
    <w:rsid w:val="00DA28A0"/>
    <w:rsid w:val="00DA2C82"/>
    <w:rsid w:val="00DA514A"/>
    <w:rsid w:val="00DA6CC0"/>
    <w:rsid w:val="00DB2323"/>
    <w:rsid w:val="00DB411F"/>
    <w:rsid w:val="00DB43BA"/>
    <w:rsid w:val="00DB53DE"/>
    <w:rsid w:val="00DB6C65"/>
    <w:rsid w:val="00DB7B6B"/>
    <w:rsid w:val="00DC0FB3"/>
    <w:rsid w:val="00DC1617"/>
    <w:rsid w:val="00DC3BC0"/>
    <w:rsid w:val="00DC51D2"/>
    <w:rsid w:val="00DC5973"/>
    <w:rsid w:val="00DD3EFD"/>
    <w:rsid w:val="00DD477E"/>
    <w:rsid w:val="00DD6185"/>
    <w:rsid w:val="00DE0EFC"/>
    <w:rsid w:val="00DE0FD5"/>
    <w:rsid w:val="00DE12D6"/>
    <w:rsid w:val="00DE157C"/>
    <w:rsid w:val="00DE1DEC"/>
    <w:rsid w:val="00DE20B0"/>
    <w:rsid w:val="00DE31BE"/>
    <w:rsid w:val="00DE47A5"/>
    <w:rsid w:val="00DE53A0"/>
    <w:rsid w:val="00DE5E20"/>
    <w:rsid w:val="00DE6970"/>
    <w:rsid w:val="00DE727B"/>
    <w:rsid w:val="00DE72B0"/>
    <w:rsid w:val="00DE7E83"/>
    <w:rsid w:val="00DF095C"/>
    <w:rsid w:val="00DF1122"/>
    <w:rsid w:val="00DF2772"/>
    <w:rsid w:val="00DF3507"/>
    <w:rsid w:val="00DF3F91"/>
    <w:rsid w:val="00DF44BB"/>
    <w:rsid w:val="00DF509F"/>
    <w:rsid w:val="00DF547D"/>
    <w:rsid w:val="00DF55FF"/>
    <w:rsid w:val="00DF5998"/>
    <w:rsid w:val="00DF5F43"/>
    <w:rsid w:val="00E013E7"/>
    <w:rsid w:val="00E0210C"/>
    <w:rsid w:val="00E027EC"/>
    <w:rsid w:val="00E02FE9"/>
    <w:rsid w:val="00E0408C"/>
    <w:rsid w:val="00E054E0"/>
    <w:rsid w:val="00E059E6"/>
    <w:rsid w:val="00E05C3A"/>
    <w:rsid w:val="00E07BAB"/>
    <w:rsid w:val="00E10E64"/>
    <w:rsid w:val="00E12DAC"/>
    <w:rsid w:val="00E1326B"/>
    <w:rsid w:val="00E14C94"/>
    <w:rsid w:val="00E152E7"/>
    <w:rsid w:val="00E16F31"/>
    <w:rsid w:val="00E172C2"/>
    <w:rsid w:val="00E20704"/>
    <w:rsid w:val="00E209D9"/>
    <w:rsid w:val="00E21A3C"/>
    <w:rsid w:val="00E23D21"/>
    <w:rsid w:val="00E25189"/>
    <w:rsid w:val="00E25D46"/>
    <w:rsid w:val="00E263E3"/>
    <w:rsid w:val="00E26D62"/>
    <w:rsid w:val="00E34396"/>
    <w:rsid w:val="00E35051"/>
    <w:rsid w:val="00E36072"/>
    <w:rsid w:val="00E3608E"/>
    <w:rsid w:val="00E3645C"/>
    <w:rsid w:val="00E36A78"/>
    <w:rsid w:val="00E41B1B"/>
    <w:rsid w:val="00E42546"/>
    <w:rsid w:val="00E426DA"/>
    <w:rsid w:val="00E43324"/>
    <w:rsid w:val="00E45FFB"/>
    <w:rsid w:val="00E465B7"/>
    <w:rsid w:val="00E46B40"/>
    <w:rsid w:val="00E505E1"/>
    <w:rsid w:val="00E523C3"/>
    <w:rsid w:val="00E5249D"/>
    <w:rsid w:val="00E52AB4"/>
    <w:rsid w:val="00E52CEE"/>
    <w:rsid w:val="00E53224"/>
    <w:rsid w:val="00E56B26"/>
    <w:rsid w:val="00E609DD"/>
    <w:rsid w:val="00E61137"/>
    <w:rsid w:val="00E62074"/>
    <w:rsid w:val="00E65E13"/>
    <w:rsid w:val="00E67361"/>
    <w:rsid w:val="00E70341"/>
    <w:rsid w:val="00E70F59"/>
    <w:rsid w:val="00E71583"/>
    <w:rsid w:val="00E73342"/>
    <w:rsid w:val="00E733D4"/>
    <w:rsid w:val="00E741E5"/>
    <w:rsid w:val="00E75602"/>
    <w:rsid w:val="00E75D0E"/>
    <w:rsid w:val="00E75FA1"/>
    <w:rsid w:val="00E76831"/>
    <w:rsid w:val="00E779B3"/>
    <w:rsid w:val="00E804AF"/>
    <w:rsid w:val="00E806F8"/>
    <w:rsid w:val="00E8275B"/>
    <w:rsid w:val="00E8330E"/>
    <w:rsid w:val="00E85115"/>
    <w:rsid w:val="00E857AF"/>
    <w:rsid w:val="00E861FC"/>
    <w:rsid w:val="00E87304"/>
    <w:rsid w:val="00E90237"/>
    <w:rsid w:val="00E90309"/>
    <w:rsid w:val="00E908ED"/>
    <w:rsid w:val="00E91015"/>
    <w:rsid w:val="00E914B6"/>
    <w:rsid w:val="00E91536"/>
    <w:rsid w:val="00E91B9E"/>
    <w:rsid w:val="00E91E52"/>
    <w:rsid w:val="00E93539"/>
    <w:rsid w:val="00E93EA3"/>
    <w:rsid w:val="00E94845"/>
    <w:rsid w:val="00EA476D"/>
    <w:rsid w:val="00EA4EE0"/>
    <w:rsid w:val="00EA5034"/>
    <w:rsid w:val="00EA53EF"/>
    <w:rsid w:val="00EA77F8"/>
    <w:rsid w:val="00EA7DBB"/>
    <w:rsid w:val="00EA7EDA"/>
    <w:rsid w:val="00EB043C"/>
    <w:rsid w:val="00EB148E"/>
    <w:rsid w:val="00EB1F00"/>
    <w:rsid w:val="00EB23FF"/>
    <w:rsid w:val="00EB458F"/>
    <w:rsid w:val="00EB50D8"/>
    <w:rsid w:val="00EB55EC"/>
    <w:rsid w:val="00EB5653"/>
    <w:rsid w:val="00EC07FB"/>
    <w:rsid w:val="00EC0FD4"/>
    <w:rsid w:val="00EC18E4"/>
    <w:rsid w:val="00EC29AA"/>
    <w:rsid w:val="00EC305A"/>
    <w:rsid w:val="00EC3FDE"/>
    <w:rsid w:val="00EC782F"/>
    <w:rsid w:val="00EC7DE0"/>
    <w:rsid w:val="00ED03D3"/>
    <w:rsid w:val="00ED08A3"/>
    <w:rsid w:val="00ED0933"/>
    <w:rsid w:val="00ED1634"/>
    <w:rsid w:val="00ED3157"/>
    <w:rsid w:val="00ED3F9B"/>
    <w:rsid w:val="00ED486B"/>
    <w:rsid w:val="00ED48D6"/>
    <w:rsid w:val="00ED48EB"/>
    <w:rsid w:val="00ED5023"/>
    <w:rsid w:val="00EE0068"/>
    <w:rsid w:val="00EE140B"/>
    <w:rsid w:val="00EE201B"/>
    <w:rsid w:val="00EE2E8F"/>
    <w:rsid w:val="00EE39B1"/>
    <w:rsid w:val="00EE3CB2"/>
    <w:rsid w:val="00EE4C83"/>
    <w:rsid w:val="00EE533A"/>
    <w:rsid w:val="00EE6340"/>
    <w:rsid w:val="00EF07AA"/>
    <w:rsid w:val="00EF11B5"/>
    <w:rsid w:val="00EF35C3"/>
    <w:rsid w:val="00EF5BAB"/>
    <w:rsid w:val="00EF6CD4"/>
    <w:rsid w:val="00EF7461"/>
    <w:rsid w:val="00F01D01"/>
    <w:rsid w:val="00F02433"/>
    <w:rsid w:val="00F031D0"/>
    <w:rsid w:val="00F04D60"/>
    <w:rsid w:val="00F05B05"/>
    <w:rsid w:val="00F05B2F"/>
    <w:rsid w:val="00F05B34"/>
    <w:rsid w:val="00F07907"/>
    <w:rsid w:val="00F107BD"/>
    <w:rsid w:val="00F109A0"/>
    <w:rsid w:val="00F1245A"/>
    <w:rsid w:val="00F125C5"/>
    <w:rsid w:val="00F14543"/>
    <w:rsid w:val="00F14794"/>
    <w:rsid w:val="00F1632B"/>
    <w:rsid w:val="00F2049A"/>
    <w:rsid w:val="00F2109E"/>
    <w:rsid w:val="00F21736"/>
    <w:rsid w:val="00F2206C"/>
    <w:rsid w:val="00F2287B"/>
    <w:rsid w:val="00F236EC"/>
    <w:rsid w:val="00F23A59"/>
    <w:rsid w:val="00F269EE"/>
    <w:rsid w:val="00F279FC"/>
    <w:rsid w:val="00F33CF0"/>
    <w:rsid w:val="00F33EC5"/>
    <w:rsid w:val="00F34F7B"/>
    <w:rsid w:val="00F35326"/>
    <w:rsid w:val="00F374CC"/>
    <w:rsid w:val="00F4052E"/>
    <w:rsid w:val="00F408E1"/>
    <w:rsid w:val="00F412E7"/>
    <w:rsid w:val="00F442D1"/>
    <w:rsid w:val="00F446C5"/>
    <w:rsid w:val="00F4544C"/>
    <w:rsid w:val="00F45A8A"/>
    <w:rsid w:val="00F46894"/>
    <w:rsid w:val="00F53404"/>
    <w:rsid w:val="00F53641"/>
    <w:rsid w:val="00F546EA"/>
    <w:rsid w:val="00F55CED"/>
    <w:rsid w:val="00F5691F"/>
    <w:rsid w:val="00F57310"/>
    <w:rsid w:val="00F5796F"/>
    <w:rsid w:val="00F607AA"/>
    <w:rsid w:val="00F60ED1"/>
    <w:rsid w:val="00F62303"/>
    <w:rsid w:val="00F62A0C"/>
    <w:rsid w:val="00F65262"/>
    <w:rsid w:val="00F663BD"/>
    <w:rsid w:val="00F66412"/>
    <w:rsid w:val="00F66F39"/>
    <w:rsid w:val="00F67575"/>
    <w:rsid w:val="00F707F7"/>
    <w:rsid w:val="00F7130F"/>
    <w:rsid w:val="00F71890"/>
    <w:rsid w:val="00F74831"/>
    <w:rsid w:val="00F767BB"/>
    <w:rsid w:val="00F81073"/>
    <w:rsid w:val="00F81E17"/>
    <w:rsid w:val="00F825CC"/>
    <w:rsid w:val="00F829ED"/>
    <w:rsid w:val="00F84449"/>
    <w:rsid w:val="00F857B7"/>
    <w:rsid w:val="00F86881"/>
    <w:rsid w:val="00F86F6D"/>
    <w:rsid w:val="00F901DD"/>
    <w:rsid w:val="00F910E4"/>
    <w:rsid w:val="00F91A5C"/>
    <w:rsid w:val="00F92FE2"/>
    <w:rsid w:val="00F942F1"/>
    <w:rsid w:val="00F95D75"/>
    <w:rsid w:val="00F960EC"/>
    <w:rsid w:val="00FA16F9"/>
    <w:rsid w:val="00FA1839"/>
    <w:rsid w:val="00FA2710"/>
    <w:rsid w:val="00FA2B8B"/>
    <w:rsid w:val="00FA32FB"/>
    <w:rsid w:val="00FA39E5"/>
    <w:rsid w:val="00FA4287"/>
    <w:rsid w:val="00FA4BC5"/>
    <w:rsid w:val="00FA77F8"/>
    <w:rsid w:val="00FB077F"/>
    <w:rsid w:val="00FB2958"/>
    <w:rsid w:val="00FB4E9D"/>
    <w:rsid w:val="00FB658B"/>
    <w:rsid w:val="00FC0B10"/>
    <w:rsid w:val="00FC12E7"/>
    <w:rsid w:val="00FC235D"/>
    <w:rsid w:val="00FC2780"/>
    <w:rsid w:val="00FC44A0"/>
    <w:rsid w:val="00FC6ABA"/>
    <w:rsid w:val="00FD0836"/>
    <w:rsid w:val="00FD1AF7"/>
    <w:rsid w:val="00FD2003"/>
    <w:rsid w:val="00FD257A"/>
    <w:rsid w:val="00FD3EFD"/>
    <w:rsid w:val="00FD4876"/>
    <w:rsid w:val="00FD4EA8"/>
    <w:rsid w:val="00FD56E4"/>
    <w:rsid w:val="00FD5E77"/>
    <w:rsid w:val="00FD6852"/>
    <w:rsid w:val="00FE201A"/>
    <w:rsid w:val="00FE20BF"/>
    <w:rsid w:val="00FE4600"/>
    <w:rsid w:val="00FE7984"/>
    <w:rsid w:val="00FE7E76"/>
    <w:rsid w:val="00FF0AF8"/>
    <w:rsid w:val="00FF1060"/>
    <w:rsid w:val="00FF1D3E"/>
    <w:rsid w:val="00FF25D5"/>
    <w:rsid w:val="00FF317A"/>
    <w:rsid w:val="00FF320E"/>
    <w:rsid w:val="00FF379D"/>
    <w:rsid w:val="00FF3D38"/>
    <w:rsid w:val="00FF408C"/>
    <w:rsid w:val="00FF4272"/>
    <w:rsid w:val="00FF6F2B"/>
    <w:rsid w:val="00FF72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FE793"/>
  <w15:docId w15:val="{0B847DF6-0FF9-46A7-8990-4918596BB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1CF"/>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161CF"/>
    <w:pPr>
      <w:ind w:left="720"/>
      <w:contextualSpacing/>
    </w:pPr>
  </w:style>
  <w:style w:type="character" w:styleId="Refdecomentrio">
    <w:name w:val="annotation reference"/>
    <w:basedOn w:val="Fontepargpadro"/>
    <w:uiPriority w:val="99"/>
    <w:unhideWhenUsed/>
    <w:rsid w:val="000161CF"/>
    <w:rPr>
      <w:sz w:val="16"/>
      <w:szCs w:val="16"/>
    </w:rPr>
  </w:style>
  <w:style w:type="paragraph" w:styleId="Textodecomentrio">
    <w:name w:val="annotation text"/>
    <w:basedOn w:val="Normal"/>
    <w:link w:val="TextodecomentrioChar"/>
    <w:uiPriority w:val="99"/>
    <w:unhideWhenUsed/>
    <w:rsid w:val="000161CF"/>
    <w:pPr>
      <w:spacing w:line="240" w:lineRule="auto"/>
    </w:pPr>
    <w:rPr>
      <w:sz w:val="20"/>
      <w:szCs w:val="20"/>
    </w:rPr>
  </w:style>
  <w:style w:type="character" w:customStyle="1" w:styleId="TextodecomentrioChar">
    <w:name w:val="Texto de comentário Char"/>
    <w:basedOn w:val="Fontepargpadro"/>
    <w:link w:val="Textodecomentrio"/>
    <w:uiPriority w:val="99"/>
    <w:rsid w:val="000161CF"/>
    <w:rPr>
      <w:sz w:val="20"/>
      <w:szCs w:val="20"/>
    </w:rPr>
  </w:style>
  <w:style w:type="paragraph" w:styleId="Textodebalo">
    <w:name w:val="Balloon Text"/>
    <w:basedOn w:val="Normal"/>
    <w:link w:val="TextodebaloChar"/>
    <w:uiPriority w:val="99"/>
    <w:semiHidden/>
    <w:unhideWhenUsed/>
    <w:rsid w:val="000161C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161CF"/>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0161CF"/>
    <w:rPr>
      <w:b/>
      <w:bCs/>
    </w:rPr>
  </w:style>
  <w:style w:type="character" w:customStyle="1" w:styleId="AssuntodocomentrioChar">
    <w:name w:val="Assunto do comentário Char"/>
    <w:basedOn w:val="TextodecomentrioChar"/>
    <w:link w:val="Assuntodocomentrio"/>
    <w:uiPriority w:val="99"/>
    <w:semiHidden/>
    <w:rsid w:val="000161CF"/>
    <w:rPr>
      <w:b/>
      <w:bCs/>
      <w:sz w:val="20"/>
      <w:szCs w:val="20"/>
    </w:rPr>
  </w:style>
  <w:style w:type="paragraph" w:styleId="Textodenotaderodap">
    <w:name w:val="footnote text"/>
    <w:basedOn w:val="Normal"/>
    <w:link w:val="TextodenotaderodapChar"/>
    <w:uiPriority w:val="99"/>
    <w:unhideWhenUsed/>
    <w:rsid w:val="001C0C7D"/>
    <w:pPr>
      <w:spacing w:after="0" w:line="240" w:lineRule="auto"/>
    </w:pPr>
    <w:rPr>
      <w:rFonts w:ascii="Calibri" w:eastAsia="Calibri" w:hAnsi="Calibri" w:cs="Times New Roman"/>
      <w:sz w:val="20"/>
      <w:szCs w:val="20"/>
    </w:rPr>
  </w:style>
  <w:style w:type="character" w:customStyle="1" w:styleId="TextodenotaderodapChar">
    <w:name w:val="Texto de nota de rodapé Char"/>
    <w:basedOn w:val="Fontepargpadro"/>
    <w:link w:val="Textodenotaderodap"/>
    <w:uiPriority w:val="99"/>
    <w:rsid w:val="001C0C7D"/>
    <w:rPr>
      <w:rFonts w:ascii="Calibri" w:eastAsia="Calibri" w:hAnsi="Calibri" w:cs="Times New Roman"/>
      <w:sz w:val="20"/>
      <w:szCs w:val="20"/>
    </w:rPr>
  </w:style>
  <w:style w:type="character" w:styleId="Refdenotaderodap">
    <w:name w:val="footnote reference"/>
    <w:aliases w:val="VMCA_rodapé chamada,fr,Ref,de nota al pie,Nota de rodapé LRB,Style 16,sobrescrito,Footnote,(NECG) Footnote Reference,-E Fußnotenzeichen,o,FC,Style 3,Appel note de bas de p,Style 17,FR,Style 13,Style 12,Style 124,callout,Style 4"/>
    <w:basedOn w:val="Fontepargpadro"/>
    <w:uiPriority w:val="99"/>
    <w:unhideWhenUsed/>
    <w:qFormat/>
    <w:rsid w:val="001C0C7D"/>
    <w:rPr>
      <w:vertAlign w:val="superscript"/>
    </w:rPr>
  </w:style>
  <w:style w:type="paragraph" w:styleId="Cabealho">
    <w:name w:val="header"/>
    <w:basedOn w:val="Normal"/>
    <w:link w:val="CabealhoChar"/>
    <w:uiPriority w:val="99"/>
    <w:unhideWhenUsed/>
    <w:rsid w:val="003E36A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E36A0"/>
  </w:style>
  <w:style w:type="paragraph" w:styleId="Rodap">
    <w:name w:val="footer"/>
    <w:basedOn w:val="Normal"/>
    <w:link w:val="RodapChar"/>
    <w:uiPriority w:val="99"/>
    <w:unhideWhenUsed/>
    <w:rsid w:val="003E36A0"/>
    <w:pPr>
      <w:tabs>
        <w:tab w:val="center" w:pos="4252"/>
        <w:tab w:val="right" w:pos="8504"/>
      </w:tabs>
      <w:spacing w:after="0" w:line="240" w:lineRule="auto"/>
    </w:pPr>
  </w:style>
  <w:style w:type="character" w:customStyle="1" w:styleId="RodapChar">
    <w:name w:val="Rodapé Char"/>
    <w:basedOn w:val="Fontepargpadro"/>
    <w:link w:val="Rodap"/>
    <w:uiPriority w:val="99"/>
    <w:rsid w:val="003E36A0"/>
  </w:style>
  <w:style w:type="character" w:styleId="Hyperlink">
    <w:name w:val="Hyperlink"/>
    <w:uiPriority w:val="99"/>
    <w:unhideWhenUsed/>
    <w:rsid w:val="000F3B75"/>
    <w:rPr>
      <w:color w:val="0000FF"/>
      <w:u w:val="single"/>
    </w:rPr>
  </w:style>
  <w:style w:type="paragraph" w:styleId="NormalWeb">
    <w:name w:val="Normal (Web)"/>
    <w:basedOn w:val="Normal"/>
    <w:uiPriority w:val="99"/>
    <w:semiHidden/>
    <w:unhideWhenUsed/>
    <w:rsid w:val="00450741"/>
    <w:rPr>
      <w:rFonts w:ascii="Times New Roman" w:hAnsi="Times New Roman" w:cs="Times New Roman"/>
      <w:sz w:val="24"/>
      <w:szCs w:val="24"/>
    </w:rPr>
  </w:style>
  <w:style w:type="paragraph" w:styleId="Pr-formataoHTML">
    <w:name w:val="HTML Preformatted"/>
    <w:basedOn w:val="Normal"/>
    <w:link w:val="Pr-formataoHTMLChar"/>
    <w:uiPriority w:val="99"/>
    <w:semiHidden/>
    <w:unhideWhenUsed/>
    <w:rsid w:val="00BD1863"/>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BD1863"/>
    <w:rPr>
      <w:rFonts w:ascii="Consolas" w:hAnsi="Consolas"/>
      <w:sz w:val="20"/>
      <w:szCs w:val="20"/>
    </w:rPr>
  </w:style>
  <w:style w:type="character" w:customStyle="1" w:styleId="MenoPendente1">
    <w:name w:val="Menção Pendente1"/>
    <w:basedOn w:val="Fontepargpadro"/>
    <w:uiPriority w:val="99"/>
    <w:semiHidden/>
    <w:unhideWhenUsed/>
    <w:rsid w:val="00E172C2"/>
    <w:rPr>
      <w:color w:val="605E5C"/>
      <w:shd w:val="clear" w:color="auto" w:fill="E1DFDD"/>
    </w:rPr>
  </w:style>
  <w:style w:type="character" w:styleId="HiperlinkVisitado">
    <w:name w:val="FollowedHyperlink"/>
    <w:basedOn w:val="Fontepargpadro"/>
    <w:uiPriority w:val="99"/>
    <w:semiHidden/>
    <w:unhideWhenUsed/>
    <w:rsid w:val="0045324B"/>
    <w:rPr>
      <w:color w:val="954F72" w:themeColor="followedHyperlink"/>
      <w:u w:val="single"/>
    </w:rPr>
  </w:style>
  <w:style w:type="character" w:customStyle="1" w:styleId="MenoPendente2">
    <w:name w:val="Menção Pendente2"/>
    <w:basedOn w:val="Fontepargpadro"/>
    <w:uiPriority w:val="99"/>
    <w:semiHidden/>
    <w:unhideWhenUsed/>
    <w:rsid w:val="0038540F"/>
    <w:rPr>
      <w:color w:val="605E5C"/>
      <w:shd w:val="clear" w:color="auto" w:fill="E1DFDD"/>
    </w:rPr>
  </w:style>
  <w:style w:type="character" w:customStyle="1" w:styleId="MenoPendente3">
    <w:name w:val="Menção Pendente3"/>
    <w:basedOn w:val="Fontepargpadro"/>
    <w:uiPriority w:val="99"/>
    <w:semiHidden/>
    <w:unhideWhenUsed/>
    <w:rsid w:val="00AC7E69"/>
    <w:rPr>
      <w:color w:val="605E5C"/>
      <w:shd w:val="clear" w:color="auto" w:fill="E1DFDD"/>
    </w:rPr>
  </w:style>
  <w:style w:type="character" w:customStyle="1" w:styleId="MenoPendente4">
    <w:name w:val="Menção Pendente4"/>
    <w:basedOn w:val="Fontepargpadro"/>
    <w:uiPriority w:val="99"/>
    <w:semiHidden/>
    <w:unhideWhenUsed/>
    <w:rsid w:val="003B487B"/>
    <w:rPr>
      <w:color w:val="605E5C"/>
      <w:shd w:val="clear" w:color="auto" w:fill="E1DFDD"/>
    </w:rPr>
  </w:style>
  <w:style w:type="paragraph" w:styleId="SemEspaamento">
    <w:name w:val="No Spacing"/>
    <w:uiPriority w:val="1"/>
    <w:qFormat/>
    <w:rsid w:val="009A09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54254">
      <w:bodyDiv w:val="1"/>
      <w:marLeft w:val="0"/>
      <w:marRight w:val="0"/>
      <w:marTop w:val="0"/>
      <w:marBottom w:val="0"/>
      <w:divBdr>
        <w:top w:val="none" w:sz="0" w:space="0" w:color="auto"/>
        <w:left w:val="none" w:sz="0" w:space="0" w:color="auto"/>
        <w:bottom w:val="none" w:sz="0" w:space="0" w:color="auto"/>
        <w:right w:val="none" w:sz="0" w:space="0" w:color="auto"/>
      </w:divBdr>
    </w:div>
    <w:div w:id="447820451">
      <w:bodyDiv w:val="1"/>
      <w:marLeft w:val="0"/>
      <w:marRight w:val="0"/>
      <w:marTop w:val="0"/>
      <w:marBottom w:val="0"/>
      <w:divBdr>
        <w:top w:val="none" w:sz="0" w:space="0" w:color="auto"/>
        <w:left w:val="none" w:sz="0" w:space="0" w:color="auto"/>
        <w:bottom w:val="none" w:sz="0" w:space="0" w:color="auto"/>
        <w:right w:val="none" w:sz="0" w:space="0" w:color="auto"/>
      </w:divBdr>
    </w:div>
    <w:div w:id="674694670">
      <w:bodyDiv w:val="1"/>
      <w:marLeft w:val="0"/>
      <w:marRight w:val="0"/>
      <w:marTop w:val="0"/>
      <w:marBottom w:val="0"/>
      <w:divBdr>
        <w:top w:val="none" w:sz="0" w:space="0" w:color="auto"/>
        <w:left w:val="none" w:sz="0" w:space="0" w:color="auto"/>
        <w:bottom w:val="none" w:sz="0" w:space="0" w:color="auto"/>
        <w:right w:val="none" w:sz="0" w:space="0" w:color="auto"/>
      </w:divBdr>
    </w:div>
    <w:div w:id="881597806">
      <w:bodyDiv w:val="1"/>
      <w:marLeft w:val="0"/>
      <w:marRight w:val="0"/>
      <w:marTop w:val="0"/>
      <w:marBottom w:val="0"/>
      <w:divBdr>
        <w:top w:val="none" w:sz="0" w:space="0" w:color="auto"/>
        <w:left w:val="none" w:sz="0" w:space="0" w:color="auto"/>
        <w:bottom w:val="none" w:sz="0" w:space="0" w:color="auto"/>
        <w:right w:val="none" w:sz="0" w:space="0" w:color="auto"/>
      </w:divBdr>
    </w:div>
    <w:div w:id="1149635373">
      <w:bodyDiv w:val="1"/>
      <w:marLeft w:val="0"/>
      <w:marRight w:val="0"/>
      <w:marTop w:val="0"/>
      <w:marBottom w:val="0"/>
      <w:divBdr>
        <w:top w:val="none" w:sz="0" w:space="0" w:color="auto"/>
        <w:left w:val="none" w:sz="0" w:space="0" w:color="auto"/>
        <w:bottom w:val="none" w:sz="0" w:space="0" w:color="auto"/>
        <w:right w:val="none" w:sz="0" w:space="0" w:color="auto"/>
      </w:divBdr>
    </w:div>
    <w:div w:id="1175613390">
      <w:bodyDiv w:val="1"/>
      <w:marLeft w:val="0"/>
      <w:marRight w:val="0"/>
      <w:marTop w:val="0"/>
      <w:marBottom w:val="0"/>
      <w:divBdr>
        <w:top w:val="none" w:sz="0" w:space="0" w:color="auto"/>
        <w:left w:val="none" w:sz="0" w:space="0" w:color="auto"/>
        <w:bottom w:val="none" w:sz="0" w:space="0" w:color="auto"/>
        <w:right w:val="none" w:sz="0" w:space="0" w:color="auto"/>
      </w:divBdr>
    </w:div>
    <w:div w:id="1378697889">
      <w:bodyDiv w:val="1"/>
      <w:marLeft w:val="0"/>
      <w:marRight w:val="0"/>
      <w:marTop w:val="0"/>
      <w:marBottom w:val="0"/>
      <w:divBdr>
        <w:top w:val="none" w:sz="0" w:space="0" w:color="auto"/>
        <w:left w:val="none" w:sz="0" w:space="0" w:color="auto"/>
        <w:bottom w:val="none" w:sz="0" w:space="0" w:color="auto"/>
        <w:right w:val="none" w:sz="0" w:space="0" w:color="auto"/>
      </w:divBdr>
    </w:div>
    <w:div w:id="1423262671">
      <w:bodyDiv w:val="1"/>
      <w:marLeft w:val="0"/>
      <w:marRight w:val="0"/>
      <w:marTop w:val="0"/>
      <w:marBottom w:val="0"/>
      <w:divBdr>
        <w:top w:val="none" w:sz="0" w:space="0" w:color="auto"/>
        <w:left w:val="none" w:sz="0" w:space="0" w:color="auto"/>
        <w:bottom w:val="none" w:sz="0" w:space="0" w:color="auto"/>
        <w:right w:val="none" w:sz="0" w:space="0" w:color="auto"/>
      </w:divBdr>
    </w:div>
    <w:div w:id="1534492559">
      <w:bodyDiv w:val="1"/>
      <w:marLeft w:val="0"/>
      <w:marRight w:val="0"/>
      <w:marTop w:val="0"/>
      <w:marBottom w:val="0"/>
      <w:divBdr>
        <w:top w:val="none" w:sz="0" w:space="0" w:color="auto"/>
        <w:left w:val="none" w:sz="0" w:space="0" w:color="auto"/>
        <w:bottom w:val="none" w:sz="0" w:space="0" w:color="auto"/>
        <w:right w:val="none" w:sz="0" w:space="0" w:color="auto"/>
      </w:divBdr>
      <w:divsChild>
        <w:div w:id="1883322010">
          <w:marLeft w:val="0"/>
          <w:marRight w:val="0"/>
          <w:marTop w:val="0"/>
          <w:marBottom w:val="0"/>
          <w:divBdr>
            <w:top w:val="none" w:sz="0" w:space="0" w:color="auto"/>
            <w:left w:val="none" w:sz="0" w:space="0" w:color="auto"/>
            <w:bottom w:val="none" w:sz="0" w:space="0" w:color="auto"/>
            <w:right w:val="none" w:sz="0" w:space="0" w:color="auto"/>
          </w:divBdr>
          <w:divsChild>
            <w:div w:id="8352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4964">
      <w:bodyDiv w:val="1"/>
      <w:marLeft w:val="0"/>
      <w:marRight w:val="0"/>
      <w:marTop w:val="0"/>
      <w:marBottom w:val="0"/>
      <w:divBdr>
        <w:top w:val="none" w:sz="0" w:space="0" w:color="auto"/>
        <w:left w:val="none" w:sz="0" w:space="0" w:color="auto"/>
        <w:bottom w:val="none" w:sz="0" w:space="0" w:color="auto"/>
        <w:right w:val="none" w:sz="0" w:space="0" w:color="auto"/>
      </w:divBdr>
    </w:div>
    <w:div w:id="1545676730">
      <w:bodyDiv w:val="1"/>
      <w:marLeft w:val="0"/>
      <w:marRight w:val="0"/>
      <w:marTop w:val="0"/>
      <w:marBottom w:val="0"/>
      <w:divBdr>
        <w:top w:val="none" w:sz="0" w:space="0" w:color="auto"/>
        <w:left w:val="none" w:sz="0" w:space="0" w:color="auto"/>
        <w:bottom w:val="none" w:sz="0" w:space="0" w:color="auto"/>
        <w:right w:val="none" w:sz="0" w:space="0" w:color="auto"/>
      </w:divBdr>
    </w:div>
    <w:div w:id="1578251307">
      <w:bodyDiv w:val="1"/>
      <w:marLeft w:val="0"/>
      <w:marRight w:val="0"/>
      <w:marTop w:val="0"/>
      <w:marBottom w:val="0"/>
      <w:divBdr>
        <w:top w:val="none" w:sz="0" w:space="0" w:color="auto"/>
        <w:left w:val="none" w:sz="0" w:space="0" w:color="auto"/>
        <w:bottom w:val="none" w:sz="0" w:space="0" w:color="auto"/>
        <w:right w:val="none" w:sz="0" w:space="0" w:color="auto"/>
      </w:divBdr>
    </w:div>
    <w:div w:id="1713577113">
      <w:bodyDiv w:val="1"/>
      <w:marLeft w:val="0"/>
      <w:marRight w:val="0"/>
      <w:marTop w:val="0"/>
      <w:marBottom w:val="0"/>
      <w:divBdr>
        <w:top w:val="none" w:sz="0" w:space="0" w:color="auto"/>
        <w:left w:val="none" w:sz="0" w:space="0" w:color="auto"/>
        <w:bottom w:val="none" w:sz="0" w:space="0" w:color="auto"/>
        <w:right w:val="none" w:sz="0" w:space="0" w:color="auto"/>
      </w:divBdr>
    </w:div>
    <w:div w:id="1751154436">
      <w:bodyDiv w:val="1"/>
      <w:marLeft w:val="0"/>
      <w:marRight w:val="0"/>
      <w:marTop w:val="0"/>
      <w:marBottom w:val="0"/>
      <w:divBdr>
        <w:top w:val="none" w:sz="0" w:space="0" w:color="auto"/>
        <w:left w:val="none" w:sz="0" w:space="0" w:color="auto"/>
        <w:bottom w:val="none" w:sz="0" w:space="0" w:color="auto"/>
        <w:right w:val="none" w:sz="0" w:space="0" w:color="auto"/>
      </w:divBdr>
    </w:div>
    <w:div w:id="1840850050">
      <w:bodyDiv w:val="1"/>
      <w:marLeft w:val="0"/>
      <w:marRight w:val="0"/>
      <w:marTop w:val="0"/>
      <w:marBottom w:val="0"/>
      <w:divBdr>
        <w:top w:val="none" w:sz="0" w:space="0" w:color="auto"/>
        <w:left w:val="none" w:sz="0" w:space="0" w:color="auto"/>
        <w:bottom w:val="none" w:sz="0" w:space="0" w:color="auto"/>
        <w:right w:val="none" w:sz="0" w:space="0" w:color="auto"/>
      </w:divBdr>
    </w:div>
    <w:div w:id="187657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ftc.gov/sites/default/files/documents/reports/gasoline-price-changes-dynamic-supply-demand-and-competition-federal-trade-commission-report-2005/050705gaspricesrpt.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cade.gov.br/acesso-a-informacao/publicacoes-institucionais/contribuicoes-do-cade/contribuicoes-do-cade_medidas-28maio2018-final.pdf" TargetMode="External"/><Relationship Id="rId2" Type="http://schemas.openxmlformats.org/officeDocument/2006/relationships/customXml" Target="../customXml/item2.xml"/><Relationship Id="rId16" Type="http://schemas.openxmlformats.org/officeDocument/2006/relationships/hyperlink" Target="http://www.cade.gov.br/acesso-a-informacao/publicacoes-institucionais/contribuicoes-do-cade/o-ambiente-concorrencial-no-setor-de-refino.pdf/view" TargetMode="External"/><Relationship Id="rId20" Type="http://schemas.openxmlformats.org/officeDocument/2006/relationships/hyperlink" Target="https://www.oecd.org/competition/CompetitionInRoadFuel.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bibliotecadigital.fgv.br/dspace/handle/10438/6895"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org/competition/abuse/43040511.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1.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oecd.org/competition/CompetitionInRoadFuel.pdf" TargetMode="External"/><Relationship Id="rId13" Type="http://schemas.openxmlformats.org/officeDocument/2006/relationships/hyperlink" Target="https://www.mtaa.com.au/images/Fuel_Retailing_in_Australia.pdf" TargetMode="External"/><Relationship Id="rId3" Type="http://schemas.openxmlformats.org/officeDocument/2006/relationships/hyperlink" Target="http://www.mme.gov.br/web/guest/secretarias/petroleo-gas-natural-e-combustiveis-renovaveis/programas/combustivel-brasil/principal" TargetMode="External"/><Relationship Id="rId7" Type="http://schemas.openxmlformats.org/officeDocument/2006/relationships/hyperlink" Target="http://www.cade.gov.br/acesso-a-informacao/publicacoes-institucionais/contribuicoes-do-cade/contribuicoes-do-cade_medidas-28maio2018-final.pdf" TargetMode="External"/><Relationship Id="rId12" Type="http://schemas.openxmlformats.org/officeDocument/2006/relationships/hyperlink" Target="http://www.oecd.org/competition/abuse/43040511.pdf" TargetMode="External"/><Relationship Id="rId2" Type="http://schemas.openxmlformats.org/officeDocument/2006/relationships/hyperlink" Target="http://www.mme.gov.br/documents/10584/24442563/2017+05+10+Combustivel+Brasil+vFinal.pdf" TargetMode="External"/><Relationship Id="rId16" Type="http://schemas.openxmlformats.org/officeDocument/2006/relationships/hyperlink" Target="http://www.cade.gov.br/acesso-a-informacao/publicacoes-institucionais/contribuicoes-do-cade/o-ambiente-concorrencial-no-setor-de-refino.pdf/view" TargetMode="External"/><Relationship Id="rId1" Type="http://schemas.openxmlformats.org/officeDocument/2006/relationships/hyperlink" Target="http://www.cade.gov.br/acesso-a-informacao/publicacoes-institucionais/contribuicoes-do-cade/contribuicoes-do-cade_medidas-28maio2018-final.pdf" TargetMode="External"/><Relationship Id="rId6" Type="http://schemas.openxmlformats.org/officeDocument/2006/relationships/hyperlink" Target="https://www.ajufe.org.br/fonacre" TargetMode="External"/><Relationship Id="rId11" Type="http://schemas.openxmlformats.org/officeDocument/2006/relationships/hyperlink" Target="http://www.cade.gov.br/acesso-a-informacao/publicacoes-institucionais/contribuicoes-do-cade/contribuicoes-do-cade_medidas-28maio2018-final.pdf" TargetMode="External"/><Relationship Id="rId5" Type="http://schemas.openxmlformats.org/officeDocument/2006/relationships/hyperlink" Target="http://www.mme.gov.br/web/guest/secretarias/petroleo-gas-natural-e-combustiveis-renovaveis/programas/combustivel-brasil/ct-cb" TargetMode="External"/><Relationship Id="rId15" Type="http://schemas.openxmlformats.org/officeDocument/2006/relationships/hyperlink" Target="http://www.anp.gov.br/images/Palestras/DecioOddone_19-04-2018-FGV.pdf" TargetMode="External"/><Relationship Id="rId10" Type="http://schemas.openxmlformats.org/officeDocument/2006/relationships/hyperlink" Target="https://www.oecd.org/competition/CompetitionInRoadFuel.pdf" TargetMode="External"/><Relationship Id="rId4" Type="http://schemas.openxmlformats.org/officeDocument/2006/relationships/hyperlink" Target="http://www.mme.gov.br/web/guest/consultas-publicas?p_p_id=consultapublicaexterna_WAR_consultapublicaportlet&amp;p_p_lifecycle=0&amp;p_p_state=normal&amp;p_p_mode=view&amp;p_p_col_id=column-1&amp;p_p_col_count=1&amp;_consultapublicaexterna_WAR_consultapublicaportlet_consultaId=29&amp;_consultapublicaexterna_WAR_consultapublicaportlet_mvcPath=/html/publico/dadosConsultaPublica.jsp" TargetMode="External"/><Relationship Id="rId9" Type="http://schemas.openxmlformats.org/officeDocument/2006/relationships/hyperlink" Target="https://www.ftc.gov/sites/default/files/documents/reports/gasoline-price-changes-dynamic-supply-demand-and-competition-federal-trade-commission-report-2005/050705gaspricesrpt.pdf" TargetMode="External"/><Relationship Id="rId14" Type="http://schemas.openxmlformats.org/officeDocument/2006/relationships/hyperlink" Target="http://www.fecombustiveis.org.br/revendedor/tributaca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ppy\c\Clientes\VMCA\Raizem_tribut&#225;rio\Dados\LCA_formacao_preco_201709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Form_preço_RJ!$BR$10</c:f>
              <c:strCache>
                <c:ptCount val="1"/>
                <c:pt idx="0">
                  <c:v>Tributos</c:v>
                </c:pt>
              </c:strCache>
            </c:strRef>
          </c:tx>
          <c:spPr>
            <a:solidFill>
              <a:schemeClr val="accent1"/>
            </a:solidFill>
            <a:ln>
              <a:noFill/>
            </a:ln>
            <a:effectLst/>
          </c:spPr>
          <c:invertIfNegative val="0"/>
          <c:dPt>
            <c:idx val="0"/>
            <c:invertIfNegative val="0"/>
            <c:bubble3D val="0"/>
            <c:spPr>
              <a:solidFill>
                <a:schemeClr val="tx2"/>
              </a:solidFill>
              <a:ln>
                <a:noFill/>
              </a:ln>
              <a:effectLst/>
            </c:spPr>
            <c:extLst xmlns:c16r2="http://schemas.microsoft.com/office/drawing/2015/06/chart">
              <c:ext xmlns:c16="http://schemas.microsoft.com/office/drawing/2014/chart" uri="{C3380CC4-5D6E-409C-BE32-E72D297353CC}">
                <c16:uniqueId val="{00000001-86FC-4968-81FC-8BFF2D8836CD}"/>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solidFill>
                    <a:latin typeface="Arial" panose="020B0604020202020204" pitchFamily="34" charset="0"/>
                    <a:ea typeface="+mn-ea"/>
                    <a:cs typeface="Arial" panose="020B0604020202020204" pitchFamily="34" charset="0"/>
                  </a:defRPr>
                </a:pPr>
                <a:endParaRPr lang="pt-B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Form_preço_RJ!$BS$9:$BU$9</c:f>
              <c:strCache>
                <c:ptCount val="1"/>
                <c:pt idx="0">
                  <c:v>Preço do etanol hidratado (R$/litro)</c:v>
                </c:pt>
              </c:strCache>
            </c:strRef>
          </c:cat>
          <c:val>
            <c:numRef>
              <c:f>Form_preço_RJ!$BM$11:$BO$11</c:f>
              <c:numCache>
                <c:formatCode>General</c:formatCode>
                <c:ptCount val="3"/>
                <c:pt idx="0" formatCode="0.00">
                  <c:v>0.25471363636363598</c:v>
                </c:pt>
              </c:numCache>
            </c:numRef>
          </c:val>
          <c:extLst xmlns:c16r2="http://schemas.microsoft.com/office/drawing/2015/06/chart">
            <c:ext xmlns:c16="http://schemas.microsoft.com/office/drawing/2014/chart" uri="{C3380CC4-5D6E-409C-BE32-E72D297353CC}">
              <c16:uniqueId val="{00000002-86FC-4968-81FC-8BFF2D8836CD}"/>
            </c:ext>
          </c:extLst>
        </c:ser>
        <c:ser>
          <c:idx val="1"/>
          <c:order val="1"/>
          <c:tx>
            <c:strRef>
              <c:f>Form_preço_RJ!$BL$12</c:f>
              <c:strCache>
                <c:ptCount val="1"/>
                <c:pt idx="0">
                  <c:v>Insumos, outros custos e margem</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pt-B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Form_preço_RJ!$BS$9:$BU$9</c:f>
              <c:strCache>
                <c:ptCount val="1"/>
                <c:pt idx="0">
                  <c:v>Preço do etanol hidratado (R$/litro)</c:v>
                </c:pt>
              </c:strCache>
            </c:strRef>
          </c:cat>
          <c:val>
            <c:numRef>
              <c:f>Form_preço_RJ!$BM$12:$BO$12</c:f>
              <c:numCache>
                <c:formatCode>General</c:formatCode>
                <c:ptCount val="3"/>
                <c:pt idx="0" formatCode="0.00">
                  <c:v>1.8678999999999999</c:v>
                </c:pt>
              </c:numCache>
            </c:numRef>
          </c:val>
          <c:extLst xmlns:c16r2="http://schemas.microsoft.com/office/drawing/2015/06/chart">
            <c:ext xmlns:c16="http://schemas.microsoft.com/office/drawing/2014/chart" uri="{C3380CC4-5D6E-409C-BE32-E72D297353CC}">
              <c16:uniqueId val="{00000003-86FC-4968-81FC-8BFF2D8836CD}"/>
            </c:ext>
          </c:extLst>
        </c:ser>
        <c:ser>
          <c:idx val="2"/>
          <c:order val="2"/>
          <c:tx>
            <c:strRef>
              <c:f>Form_preço_RJ!$BR$12</c:f>
              <c:strCache>
                <c:ptCount val="1"/>
                <c:pt idx="0">
                  <c:v>Tributos</c:v>
                </c:pt>
              </c:strCache>
            </c:strRef>
          </c:tx>
          <c:spPr>
            <a:solidFill>
              <a:schemeClr val="accent6">
                <a:lumMod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solidFill>
                    <a:latin typeface="Arial" panose="020B0604020202020204" pitchFamily="34" charset="0"/>
                    <a:ea typeface="+mn-ea"/>
                    <a:cs typeface="Arial" panose="020B0604020202020204" pitchFamily="34" charset="0"/>
                  </a:defRPr>
                </a:pPr>
                <a:endParaRPr lang="pt-B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Form_preço_RJ!$BS$9:$BU$9</c:f>
              <c:strCache>
                <c:ptCount val="1"/>
                <c:pt idx="0">
                  <c:v>Preço do etanol hidratado (R$/litro)</c:v>
                </c:pt>
              </c:strCache>
            </c:strRef>
          </c:cat>
          <c:val>
            <c:numRef>
              <c:f>Form_preço_RJ!$BM$13:$BO$13</c:f>
              <c:numCache>
                <c:formatCode>General</c:formatCode>
                <c:ptCount val="3"/>
                <c:pt idx="0" formatCode="0.00">
                  <c:v>0.66863951119049303</c:v>
                </c:pt>
              </c:numCache>
            </c:numRef>
          </c:val>
          <c:extLst xmlns:c16r2="http://schemas.microsoft.com/office/drawing/2015/06/chart">
            <c:ext xmlns:c16="http://schemas.microsoft.com/office/drawing/2014/chart" uri="{C3380CC4-5D6E-409C-BE32-E72D297353CC}">
              <c16:uniqueId val="{00000004-86FC-4968-81FC-8BFF2D8836CD}"/>
            </c:ext>
          </c:extLst>
        </c:ser>
        <c:ser>
          <c:idx val="3"/>
          <c:order val="3"/>
          <c:tx>
            <c:strRef>
              <c:f>Form_preço_RJ!$BR$13</c:f>
              <c:strCache>
                <c:ptCount val="1"/>
                <c:pt idx="0">
                  <c:v>Valor adicionado</c:v>
                </c:pt>
              </c:strCache>
            </c:strRef>
          </c:tx>
          <c:spPr>
            <a:solidFill>
              <a:schemeClr val="accent6">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pt-B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Form_preço_RJ!$BS$9:$BU$9</c:f>
              <c:strCache>
                <c:ptCount val="1"/>
                <c:pt idx="0">
                  <c:v>Preço do etanol hidratado (R$/litro)</c:v>
                </c:pt>
              </c:strCache>
            </c:strRef>
          </c:cat>
          <c:val>
            <c:numRef>
              <c:f>Form_preço_RJ!$BM$14:$BO$14</c:f>
              <c:numCache>
                <c:formatCode>General</c:formatCode>
                <c:ptCount val="3"/>
                <c:pt idx="0" formatCode="0.00">
                  <c:v>0.13785831239285801</c:v>
                </c:pt>
              </c:numCache>
            </c:numRef>
          </c:val>
          <c:extLst xmlns:c16r2="http://schemas.microsoft.com/office/drawing/2015/06/chart">
            <c:ext xmlns:c16="http://schemas.microsoft.com/office/drawing/2014/chart" uri="{C3380CC4-5D6E-409C-BE32-E72D297353CC}">
              <c16:uniqueId val="{00000005-86FC-4968-81FC-8BFF2D8836CD}"/>
            </c:ext>
          </c:extLst>
        </c:ser>
        <c:ser>
          <c:idx val="4"/>
          <c:order val="4"/>
          <c:tx>
            <c:strRef>
              <c:f>Form_preço_RJ!$BR$14</c:f>
              <c:strCache>
                <c:ptCount val="1"/>
                <c:pt idx="0">
                  <c:v>Margem</c:v>
                </c:pt>
              </c:strCache>
            </c:strRef>
          </c:tx>
          <c:spPr>
            <a:solidFill>
              <a:schemeClr val="accent6">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pt-B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Form_preço_RJ!$BS$9:$BU$9</c:f>
              <c:strCache>
                <c:ptCount val="1"/>
                <c:pt idx="0">
                  <c:v>Preço do etanol hidratado (R$/litro)</c:v>
                </c:pt>
              </c:strCache>
            </c:strRef>
          </c:cat>
          <c:val>
            <c:numRef>
              <c:f>Form_preço_RJ!$BM$15:$BO$15</c:f>
              <c:numCache>
                <c:formatCode>General</c:formatCode>
                <c:ptCount val="3"/>
                <c:pt idx="0" formatCode="0.00">
                  <c:v>0.12505664350128801</c:v>
                </c:pt>
              </c:numCache>
            </c:numRef>
          </c:val>
          <c:extLst xmlns:c16r2="http://schemas.microsoft.com/office/drawing/2015/06/chart">
            <c:ext xmlns:c16="http://schemas.microsoft.com/office/drawing/2014/chart" uri="{C3380CC4-5D6E-409C-BE32-E72D297353CC}">
              <c16:uniqueId val="{00000006-86FC-4968-81FC-8BFF2D8836CD}"/>
            </c:ext>
          </c:extLst>
        </c:ser>
        <c:ser>
          <c:idx val="5"/>
          <c:order val="5"/>
          <c:tx>
            <c:strRef>
              <c:f>Form_preço_RJ!$BR$15</c:f>
              <c:strCache>
                <c:ptCount val="1"/>
                <c:pt idx="0">
                  <c:v>Outros custos</c:v>
                </c:pt>
              </c:strCache>
            </c:strRef>
          </c:tx>
          <c:spPr>
            <a:solidFill>
              <a:schemeClr val="accent2">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solidFill>
                    <a:latin typeface="Arial" panose="020B0604020202020204" pitchFamily="34" charset="0"/>
                    <a:ea typeface="+mn-ea"/>
                    <a:cs typeface="Arial" panose="020B0604020202020204" pitchFamily="34" charset="0"/>
                  </a:defRPr>
                </a:pPr>
                <a:endParaRPr lang="pt-B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Form_preço_RJ!$BS$9:$BU$9</c:f>
              <c:strCache>
                <c:ptCount val="1"/>
                <c:pt idx="0">
                  <c:v>Preço do etanol hidratado (R$/litro)</c:v>
                </c:pt>
              </c:strCache>
            </c:strRef>
          </c:cat>
          <c:val>
            <c:numRef>
              <c:f>Form_preço_RJ!$BM$16:$BO$16</c:f>
              <c:numCache>
                <c:formatCode>General</c:formatCode>
                <c:ptCount val="3"/>
                <c:pt idx="0" formatCode="0.00">
                  <c:v>0.381157226683767</c:v>
                </c:pt>
              </c:numCache>
            </c:numRef>
          </c:val>
          <c:extLst xmlns:c16r2="http://schemas.microsoft.com/office/drawing/2015/06/chart">
            <c:ext xmlns:c16="http://schemas.microsoft.com/office/drawing/2014/chart" uri="{C3380CC4-5D6E-409C-BE32-E72D297353CC}">
              <c16:uniqueId val="{00000007-86FC-4968-81FC-8BFF2D8836CD}"/>
            </c:ext>
          </c:extLst>
        </c:ser>
        <c:ser>
          <c:idx val="6"/>
          <c:order val="6"/>
          <c:tx>
            <c:strRef>
              <c:f>Form_preço_RJ!$BR$16</c:f>
              <c:strCache>
                <c:ptCount val="1"/>
                <c:pt idx="0">
                  <c:v>Margem</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pt-B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Form_preço_RJ!$BS$9:$BU$9</c:f>
              <c:strCache>
                <c:ptCount val="1"/>
                <c:pt idx="0">
                  <c:v>Preço do etanol hidratado (R$/litro)</c:v>
                </c:pt>
              </c:strCache>
            </c:strRef>
          </c:cat>
          <c:val>
            <c:numRef>
              <c:f>Form_preço_RJ!$BN$17:$BO$17</c:f>
              <c:numCache>
                <c:formatCode>General</c:formatCode>
                <c:ptCount val="2"/>
              </c:numCache>
            </c:numRef>
          </c:val>
          <c:extLst xmlns:c16r2="http://schemas.microsoft.com/office/drawing/2015/06/chart">
            <c:ext xmlns:c16="http://schemas.microsoft.com/office/drawing/2014/chart" uri="{C3380CC4-5D6E-409C-BE32-E72D297353CC}">
              <c16:uniqueId val="{00000008-86FC-4968-81FC-8BFF2D8836CD}"/>
            </c:ext>
          </c:extLst>
        </c:ser>
        <c:ser>
          <c:idx val="7"/>
          <c:order val="7"/>
          <c:tx>
            <c:strRef>
              <c:f>Form_preço_RJ!$BL$17</c:f>
              <c:strCache>
                <c:ptCount val="1"/>
                <c:pt idx="0">
                  <c:v>Preço do etanol hidratado (R$/litro)</c:v>
                </c:pt>
              </c:strCache>
            </c:strRef>
          </c:tx>
          <c:spPr>
            <a:noFill/>
            <a:ln>
              <a:noFill/>
            </a:ln>
            <a:effectLst/>
          </c:spPr>
          <c:invertIfNegative val="0"/>
          <c:cat>
            <c:strRef>
              <c:f>Form_preço_RJ!$BS$9:$BU$9</c:f>
              <c:strCache>
                <c:ptCount val="1"/>
                <c:pt idx="0">
                  <c:v>Preço do etanol hidratado (R$/litro)</c:v>
                </c:pt>
              </c:strCache>
            </c:strRef>
          </c:cat>
          <c:val>
            <c:numRef>
              <c:f>Form_preço_RJ!$BM$18:$BO$18</c:f>
              <c:numCache>
                <c:formatCode>General</c:formatCode>
                <c:ptCount val="3"/>
              </c:numCache>
            </c:numRef>
          </c:val>
          <c:extLst xmlns:c16r2="http://schemas.microsoft.com/office/drawing/2015/06/chart">
            <c:ext xmlns:c16="http://schemas.microsoft.com/office/drawing/2014/chart" uri="{C3380CC4-5D6E-409C-BE32-E72D297353CC}">
              <c16:uniqueId val="{00000009-86FC-4968-81FC-8BFF2D8836CD}"/>
            </c:ext>
          </c:extLst>
        </c:ser>
        <c:dLbls>
          <c:showLegendKey val="0"/>
          <c:showVal val="0"/>
          <c:showCatName val="0"/>
          <c:showSerName val="0"/>
          <c:showPercent val="0"/>
          <c:showBubbleSize val="0"/>
        </c:dLbls>
        <c:gapWidth val="81"/>
        <c:overlap val="100"/>
        <c:axId val="420692392"/>
        <c:axId val="420690824"/>
      </c:barChart>
      <c:catAx>
        <c:axId val="420692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pt-BR"/>
          </a:p>
        </c:txPr>
        <c:crossAx val="420690824"/>
        <c:crosses val="autoZero"/>
        <c:auto val="1"/>
        <c:lblAlgn val="ctr"/>
        <c:lblOffset val="100"/>
        <c:noMultiLvlLbl val="0"/>
      </c:catAx>
      <c:valAx>
        <c:axId val="420690824"/>
        <c:scaling>
          <c:orientation val="minMax"/>
          <c:max val="3.7"/>
        </c:scaling>
        <c:delete val="1"/>
        <c:axPos val="l"/>
        <c:numFmt formatCode="0.00" sourceLinked="1"/>
        <c:majorTickMark val="out"/>
        <c:minorTickMark val="none"/>
        <c:tickLblPos val="nextTo"/>
        <c:crossAx val="4206923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000">
          <a:solidFill>
            <a:sysClr val="windowText" lastClr="000000"/>
          </a:solidFill>
          <a:latin typeface="Arial" panose="020B0604020202020204" pitchFamily="34" charset="0"/>
          <a:cs typeface="Arial" panose="020B0604020202020204" pitchFamily="34" charset="0"/>
        </a:defRPr>
      </a:pPr>
      <a:endParaRPr lang="pt-BR"/>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0.29053</cdr:x>
      <cdr:y>0.71171</cdr:y>
    </cdr:from>
    <cdr:to>
      <cdr:x>0.53044</cdr:x>
      <cdr:y>0.77</cdr:y>
    </cdr:to>
    <cdr:sp macro="" textlink="">
      <cdr:nvSpPr>
        <cdr:cNvPr id="5" name="CaixaDeTexto 4"/>
        <cdr:cNvSpPr txBox="1"/>
      </cdr:nvSpPr>
      <cdr:spPr>
        <a:xfrm xmlns:a="http://schemas.openxmlformats.org/drawingml/2006/main">
          <a:off x="1537150" y="3009900"/>
          <a:ext cx="1269329" cy="246515"/>
        </a:xfrm>
        <a:prstGeom xmlns:a="http://schemas.openxmlformats.org/drawingml/2006/main" prst="rect">
          <a:avLst/>
        </a:prstGeom>
      </cdr:spPr>
      <cdr:txBody>
        <a:bodyPr xmlns:a="http://schemas.openxmlformats.org/drawingml/2006/main" vertOverflow="clip" wrap="none" rtlCol="0" anchor="ctr"/>
        <a:lstStyle xmlns:a="http://schemas.openxmlformats.org/drawingml/2006/main"/>
        <a:p xmlns:a="http://schemas.openxmlformats.org/drawingml/2006/main">
          <a:pPr algn="l"/>
          <a:r>
            <a:rPr lang="pt-BR" sz="1100"/>
            <a:t>Tributos - R$ 0,25</a:t>
          </a:r>
        </a:p>
      </cdr:txBody>
    </cdr:sp>
  </cdr:relSizeAnchor>
  <cdr:relSizeAnchor xmlns:cdr="http://schemas.openxmlformats.org/drawingml/2006/chartDrawing">
    <cdr:from>
      <cdr:x>0.29053</cdr:x>
      <cdr:y>0.49338</cdr:y>
    </cdr:from>
    <cdr:to>
      <cdr:x>0.57814</cdr:x>
      <cdr:y>0.62321</cdr:y>
    </cdr:to>
    <cdr:sp macro="" textlink="">
      <cdr:nvSpPr>
        <cdr:cNvPr id="6" name="CaixaDeTexto 1"/>
        <cdr:cNvSpPr txBox="1"/>
      </cdr:nvSpPr>
      <cdr:spPr>
        <a:xfrm xmlns:a="http://schemas.openxmlformats.org/drawingml/2006/main">
          <a:off x="1537150" y="2086544"/>
          <a:ext cx="1521703" cy="549064"/>
        </a:xfrm>
        <a:prstGeom xmlns:a="http://schemas.openxmlformats.org/drawingml/2006/main" prst="rect">
          <a:avLst/>
        </a:prstGeom>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pt-BR" sz="1100"/>
            <a:t>Insumos, outros custos </a:t>
          </a:r>
        </a:p>
        <a:p xmlns:a="http://schemas.openxmlformats.org/drawingml/2006/main">
          <a:pPr algn="l"/>
          <a:r>
            <a:rPr lang="pt-BR" sz="1100"/>
            <a:t>e margem - R$ 1,87</a:t>
          </a:r>
        </a:p>
      </cdr:txBody>
    </cdr:sp>
  </cdr:relSizeAnchor>
  <cdr:relSizeAnchor xmlns:cdr="http://schemas.openxmlformats.org/drawingml/2006/chartDrawing">
    <cdr:from>
      <cdr:x>0.29053</cdr:x>
      <cdr:y>0.28929</cdr:y>
    </cdr:from>
    <cdr:to>
      <cdr:x>0.53044</cdr:x>
      <cdr:y>0.34758</cdr:y>
    </cdr:to>
    <cdr:sp macro="" textlink="">
      <cdr:nvSpPr>
        <cdr:cNvPr id="7" name="CaixaDeTexto 1"/>
        <cdr:cNvSpPr txBox="1"/>
      </cdr:nvSpPr>
      <cdr:spPr>
        <a:xfrm xmlns:a="http://schemas.openxmlformats.org/drawingml/2006/main">
          <a:off x="1537142" y="1223253"/>
          <a:ext cx="1269321" cy="246478"/>
        </a:xfrm>
        <a:prstGeom xmlns:a="http://schemas.openxmlformats.org/drawingml/2006/main" prst="rect">
          <a:avLst/>
        </a:prstGeom>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pt-BR" sz="1100"/>
            <a:t>Tributos - R$ 0,67</a:t>
          </a:r>
        </a:p>
      </cdr:txBody>
    </cdr:sp>
  </cdr:relSizeAnchor>
  <cdr:relSizeAnchor xmlns:cdr="http://schemas.openxmlformats.org/drawingml/2006/chartDrawing">
    <cdr:from>
      <cdr:x>0.28638</cdr:x>
      <cdr:y>0.2024</cdr:y>
    </cdr:from>
    <cdr:to>
      <cdr:x>0.52629</cdr:x>
      <cdr:y>0.26069</cdr:y>
    </cdr:to>
    <cdr:sp macro="" textlink="">
      <cdr:nvSpPr>
        <cdr:cNvPr id="8" name="CaixaDeTexto 1"/>
        <cdr:cNvSpPr txBox="1"/>
      </cdr:nvSpPr>
      <cdr:spPr>
        <a:xfrm xmlns:a="http://schemas.openxmlformats.org/drawingml/2006/main">
          <a:off x="1515196" y="855843"/>
          <a:ext cx="1269321" cy="246477"/>
        </a:xfrm>
        <a:prstGeom xmlns:a="http://schemas.openxmlformats.org/drawingml/2006/main" prst="rect">
          <a:avLst/>
        </a:prstGeom>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pt-BR" sz="1100"/>
            <a:t>Outros custos- R$ 0,14</a:t>
          </a:r>
        </a:p>
      </cdr:txBody>
    </cdr:sp>
  </cdr:relSizeAnchor>
  <cdr:relSizeAnchor xmlns:cdr="http://schemas.openxmlformats.org/drawingml/2006/chartDrawing">
    <cdr:from>
      <cdr:x>0.28776</cdr:x>
      <cdr:y>0.17167</cdr:y>
    </cdr:from>
    <cdr:to>
      <cdr:x>0.52767</cdr:x>
      <cdr:y>0.22997</cdr:y>
    </cdr:to>
    <cdr:sp macro="" textlink="">
      <cdr:nvSpPr>
        <cdr:cNvPr id="9" name="CaixaDeTexto 1"/>
        <cdr:cNvSpPr txBox="1"/>
      </cdr:nvSpPr>
      <cdr:spPr>
        <a:xfrm xmlns:a="http://schemas.openxmlformats.org/drawingml/2006/main">
          <a:off x="1522512" y="725901"/>
          <a:ext cx="1269321" cy="246520"/>
        </a:xfrm>
        <a:prstGeom xmlns:a="http://schemas.openxmlformats.org/drawingml/2006/main" prst="rect">
          <a:avLst/>
        </a:prstGeom>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pt-BR" sz="1100"/>
            <a:t>Margem - R$ 0,13</a:t>
          </a:r>
        </a:p>
      </cdr:txBody>
    </cdr:sp>
  </cdr:relSizeAnchor>
  <cdr:relSizeAnchor xmlns:cdr="http://schemas.openxmlformats.org/drawingml/2006/chartDrawing">
    <cdr:from>
      <cdr:x>0.0647</cdr:x>
      <cdr:y>0.18358</cdr:y>
    </cdr:from>
    <cdr:to>
      <cdr:x>0.90971</cdr:x>
      <cdr:y>0.18358</cdr:y>
    </cdr:to>
    <cdr:cxnSp macro="">
      <cdr:nvCxnSpPr>
        <cdr:cNvPr id="19" name="Conector reto 18"/>
        <cdr:cNvCxnSpPr/>
      </cdr:nvCxnSpPr>
      <cdr:spPr>
        <a:xfrm xmlns:a="http://schemas.openxmlformats.org/drawingml/2006/main" flipV="1">
          <a:off x="342935" y="776359"/>
          <a:ext cx="4478877"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0.65028</cdr:x>
      <cdr:y>0.25049</cdr:y>
    </cdr:from>
    <cdr:to>
      <cdr:x>0.89019</cdr:x>
      <cdr:y>0.34818</cdr:y>
    </cdr:to>
    <cdr:sp macro="" textlink="">
      <cdr:nvSpPr>
        <cdr:cNvPr id="22" name="CaixaDeTexto 1"/>
        <cdr:cNvSpPr txBox="1"/>
      </cdr:nvSpPr>
      <cdr:spPr>
        <a:xfrm xmlns:a="http://schemas.openxmlformats.org/drawingml/2006/main">
          <a:off x="3432176" y="1059331"/>
          <a:ext cx="1266238" cy="413141"/>
        </a:xfrm>
        <a:prstGeom xmlns:a="http://schemas.openxmlformats.org/drawingml/2006/main" prst="rect">
          <a:avLst/>
        </a:prstGeom>
        <a:ln xmlns:a="http://schemas.openxmlformats.org/drawingml/2006/main">
          <a:solidFill>
            <a:srgbClr val="00B050"/>
          </a:solidFill>
        </a:ln>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pt-BR" sz="1100"/>
            <a:t>Distribuição</a:t>
          </a:r>
        </a:p>
        <a:p xmlns:a="http://schemas.openxmlformats.org/drawingml/2006/main">
          <a:pPr algn="ctr"/>
          <a:r>
            <a:rPr lang="pt-BR" sz="1100"/>
            <a:t>R$</a:t>
          </a:r>
          <a:r>
            <a:rPr lang="pt-BR" sz="1100" baseline="0"/>
            <a:t> 0,93</a:t>
          </a:r>
          <a:endParaRPr lang="pt-BR" sz="1100"/>
        </a:p>
      </cdr:txBody>
    </cdr:sp>
  </cdr:relSizeAnchor>
  <cdr:relSizeAnchor xmlns:cdr="http://schemas.openxmlformats.org/drawingml/2006/chartDrawing">
    <cdr:from>
      <cdr:x>0.64816</cdr:x>
      <cdr:y>0.64264</cdr:y>
    </cdr:from>
    <cdr:to>
      <cdr:x>0.88807</cdr:x>
      <cdr:y>0.74033</cdr:y>
    </cdr:to>
    <cdr:sp macro="" textlink="">
      <cdr:nvSpPr>
        <cdr:cNvPr id="23" name="CaixaDeTexto 1"/>
        <cdr:cNvSpPr txBox="1"/>
      </cdr:nvSpPr>
      <cdr:spPr>
        <a:xfrm xmlns:a="http://schemas.openxmlformats.org/drawingml/2006/main">
          <a:off x="3420969" y="2717800"/>
          <a:ext cx="1266265" cy="413122"/>
        </a:xfrm>
        <a:prstGeom xmlns:a="http://schemas.openxmlformats.org/drawingml/2006/main" prst="rect">
          <a:avLst/>
        </a:prstGeom>
        <a:ln xmlns:a="http://schemas.openxmlformats.org/drawingml/2006/main">
          <a:solidFill>
            <a:srgbClr val="0070C0"/>
          </a:solidFill>
        </a:ln>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pt-BR" sz="1100"/>
            <a:t>Produção</a:t>
          </a:r>
        </a:p>
        <a:p xmlns:a="http://schemas.openxmlformats.org/drawingml/2006/main">
          <a:pPr algn="ctr"/>
          <a:r>
            <a:rPr lang="pt-BR" sz="1100"/>
            <a:t>R$</a:t>
          </a:r>
          <a:r>
            <a:rPr lang="pt-BR" sz="1100" baseline="0"/>
            <a:t> 2,12</a:t>
          </a:r>
          <a:endParaRPr lang="pt-BR" sz="1100"/>
        </a:p>
      </cdr:txBody>
    </cdr:sp>
  </cdr:relSizeAnchor>
  <cdr:relSizeAnchor xmlns:cdr="http://schemas.openxmlformats.org/drawingml/2006/chartDrawing">
    <cdr:from>
      <cdr:x>0.64636</cdr:x>
      <cdr:y>0.0597</cdr:y>
    </cdr:from>
    <cdr:to>
      <cdr:x>0.88627</cdr:x>
      <cdr:y>0.15739</cdr:y>
    </cdr:to>
    <cdr:sp macro="" textlink="">
      <cdr:nvSpPr>
        <cdr:cNvPr id="24" name="CaixaDeTexto 1"/>
        <cdr:cNvSpPr txBox="1"/>
      </cdr:nvSpPr>
      <cdr:spPr>
        <a:xfrm xmlns:a="http://schemas.openxmlformats.org/drawingml/2006/main">
          <a:off x="3419797" y="252498"/>
          <a:ext cx="1269329" cy="413141"/>
        </a:xfrm>
        <a:prstGeom xmlns:a="http://schemas.openxmlformats.org/drawingml/2006/main" prst="rect">
          <a:avLst/>
        </a:prstGeom>
        <a:ln xmlns:a="http://schemas.openxmlformats.org/drawingml/2006/main">
          <a:solidFill>
            <a:schemeClr val="accent2"/>
          </a:solidFill>
        </a:ln>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pt-BR" sz="1100"/>
            <a:t>Revenda</a:t>
          </a:r>
        </a:p>
        <a:p xmlns:a="http://schemas.openxmlformats.org/drawingml/2006/main">
          <a:pPr algn="ctr"/>
          <a:r>
            <a:rPr lang="pt-BR" sz="1100"/>
            <a:t>R$</a:t>
          </a:r>
          <a:r>
            <a:rPr lang="pt-BR" sz="1100" baseline="0"/>
            <a:t> 0,38</a:t>
          </a:r>
          <a:endParaRPr lang="pt-BR" sz="1100"/>
        </a:p>
      </cdr:txBody>
    </cdr:sp>
  </cdr:relSizeAnchor>
  <cdr:relSizeAnchor xmlns:cdr="http://schemas.openxmlformats.org/drawingml/2006/chartDrawing">
    <cdr:from>
      <cdr:x>0.06483</cdr:x>
      <cdr:y>0.00463</cdr:y>
    </cdr:from>
    <cdr:to>
      <cdr:x>0.30474</cdr:x>
      <cdr:y>0.06292</cdr:y>
    </cdr:to>
    <cdr:sp macro="" textlink="">
      <cdr:nvSpPr>
        <cdr:cNvPr id="25" name="CaixaDeTexto 1"/>
        <cdr:cNvSpPr txBox="1"/>
      </cdr:nvSpPr>
      <cdr:spPr>
        <a:xfrm xmlns:a="http://schemas.openxmlformats.org/drawingml/2006/main">
          <a:off x="343624" y="19591"/>
          <a:ext cx="1271614" cy="246514"/>
        </a:xfrm>
        <a:prstGeom xmlns:a="http://schemas.openxmlformats.org/drawingml/2006/main" prst="rect">
          <a:avLst/>
        </a:prstGeom>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pt-BR" sz="1100"/>
            <a:t>Valor total:</a:t>
          </a:r>
          <a:r>
            <a:rPr lang="pt-BR" sz="1100" baseline="0"/>
            <a:t> </a:t>
          </a:r>
          <a:r>
            <a:rPr lang="pt-BR" sz="1100" b="1" baseline="0"/>
            <a:t>R$ 3,44</a:t>
          </a:r>
          <a:endParaRPr lang="pt-BR" sz="1100" b="1"/>
        </a:p>
      </cdr:txBody>
    </cdr:sp>
  </cdr:relSizeAnchor>
  <cdr:relSizeAnchor xmlns:cdr="http://schemas.openxmlformats.org/drawingml/2006/chartDrawing">
    <cdr:from>
      <cdr:x>0.29044</cdr:x>
      <cdr:y>0.09084</cdr:y>
    </cdr:from>
    <cdr:to>
      <cdr:x>0.53035</cdr:x>
      <cdr:y>0.14914</cdr:y>
    </cdr:to>
    <cdr:sp macro="" textlink="">
      <cdr:nvSpPr>
        <cdr:cNvPr id="15" name="CaixaDeTexto 1"/>
        <cdr:cNvSpPr txBox="1"/>
      </cdr:nvSpPr>
      <cdr:spPr>
        <a:xfrm xmlns:a="http://schemas.openxmlformats.org/drawingml/2006/main">
          <a:off x="1536700" y="384175"/>
          <a:ext cx="1269329" cy="246557"/>
        </a:xfrm>
        <a:prstGeom xmlns:a="http://schemas.openxmlformats.org/drawingml/2006/main" prst="rect">
          <a:avLst/>
        </a:prstGeom>
      </cdr:spPr>
      <cdr:txBody>
        <a:bodyPr xmlns:a="http://schemas.openxmlformats.org/drawingml/2006/main" wrap="non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pt-BR" sz="1100"/>
            <a:t>Outros custos e </a:t>
          </a:r>
        </a:p>
        <a:p xmlns:a="http://schemas.openxmlformats.org/drawingml/2006/main">
          <a:pPr algn="l"/>
          <a:r>
            <a:rPr lang="pt-BR" sz="1100"/>
            <a:t>margem - R$ 0,38</a:t>
          </a:r>
        </a:p>
      </cdr:txBody>
    </cdr:sp>
  </cdr:relSizeAnchor>
</c:userShape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5DBF9C4A7120049AD1626FBC02C5EE5" ma:contentTypeVersion="10" ma:contentTypeDescription="Crie um novo documento." ma:contentTypeScope="" ma:versionID="063ef19e99d100d4ea4eafad5b29eac8">
  <xsd:schema xmlns:xsd="http://www.w3.org/2001/XMLSchema" xmlns:xs="http://www.w3.org/2001/XMLSchema" xmlns:p="http://schemas.microsoft.com/office/2006/metadata/properties" xmlns:ns2="faae2a72-a904-410e-a81a-7e4f155ee362" xmlns:ns3="4a51dabd-bb63-4850-a8be-3c9ae104ca08" targetNamespace="http://schemas.microsoft.com/office/2006/metadata/properties" ma:root="true" ma:fieldsID="b5377ead009c39f1b2d03f0035b9cc6b" ns2:_="" ns3:_="">
    <xsd:import namespace="faae2a72-a904-410e-a81a-7e4f155ee362"/>
    <xsd:import namespace="4a51dabd-bb63-4850-a8be-3c9ae104ca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e2a72-a904-410e-a81a-7e4f155ee362" elementFormDefault="qualified">
    <xsd:import namespace="http://schemas.microsoft.com/office/2006/documentManagement/types"/>
    <xsd:import namespace="http://schemas.microsoft.com/office/infopath/2007/PartnerControls"/>
    <xsd:element name="SharedWithUsers" ma:index="8" nillable="true" ma:displayName="Compartilhado com"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51dabd-bb63-4850-a8be-3c9ae104ca0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7DE2E-CBCD-4DC0-9435-22A6D8F8EB6A}">
  <ds:schemaRefs>
    <ds:schemaRef ds:uri="http://schemas.microsoft.com/sharepoint/v3/contenttype/forms"/>
  </ds:schemaRefs>
</ds:datastoreItem>
</file>

<file path=customXml/itemProps2.xml><?xml version="1.0" encoding="utf-8"?>
<ds:datastoreItem xmlns:ds="http://schemas.openxmlformats.org/officeDocument/2006/customXml" ds:itemID="{F93D0198-A44B-4F56-BCDD-6D926B191C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999120-7303-4A06-867A-15F655F80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e2a72-a904-410e-a81a-7e4f155ee362"/>
    <ds:schemaRef ds:uri="4a51dabd-bb63-4850-a8be-3c9ae104c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B4E53C-F166-4A5E-A354-2F62784E5C05}">
  <ds:schemaRefs>
    <ds:schemaRef ds:uri="http://schemas.openxmlformats.org/officeDocument/2006/bibliography"/>
  </ds:schemaRefs>
</ds:datastoreItem>
</file>

<file path=customXml/itemProps5.xml><?xml version="1.0" encoding="utf-8"?>
<ds:datastoreItem xmlns:ds="http://schemas.openxmlformats.org/officeDocument/2006/customXml" ds:itemID="{2A395A6E-AD37-45E0-A182-E4A0645A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12008</Words>
  <Characters>64846</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
    </vt:vector>
  </TitlesOfParts>
  <Company>Cosan</Company>
  <LinksUpToDate>false</LinksUpToDate>
  <CharactersWithSpaces>76701</CharactersWithSpaces>
  <SharedDoc>false</SharedDoc>
  <HLinks>
    <vt:vector size="144" baseType="variant">
      <vt:variant>
        <vt:i4>2818083</vt:i4>
      </vt:variant>
      <vt:variant>
        <vt:i4>12</vt:i4>
      </vt:variant>
      <vt:variant>
        <vt:i4>0</vt:i4>
      </vt:variant>
      <vt:variant>
        <vt:i4>5</vt:i4>
      </vt:variant>
      <vt:variant>
        <vt:lpwstr>https://www.oecd.org/competition/CompetitionInRoadFuel.pdf</vt:lpwstr>
      </vt:variant>
      <vt:variant>
        <vt:lpwstr/>
      </vt:variant>
      <vt:variant>
        <vt:i4>2097250</vt:i4>
      </vt:variant>
      <vt:variant>
        <vt:i4>9</vt:i4>
      </vt:variant>
      <vt:variant>
        <vt:i4>0</vt:i4>
      </vt:variant>
      <vt:variant>
        <vt:i4>5</vt:i4>
      </vt:variant>
      <vt:variant>
        <vt:lpwstr>http://www.oecd.org/competition/abuse/43040511.pdf</vt:lpwstr>
      </vt:variant>
      <vt:variant>
        <vt:lpwstr/>
      </vt:variant>
      <vt:variant>
        <vt:i4>8192054</vt:i4>
      </vt:variant>
      <vt:variant>
        <vt:i4>6</vt:i4>
      </vt:variant>
      <vt:variant>
        <vt:i4>0</vt:i4>
      </vt:variant>
      <vt:variant>
        <vt:i4>5</vt:i4>
      </vt:variant>
      <vt:variant>
        <vt:lpwstr>https://www.ftc.gov/sites/default/files/documents/reports/gasoline-price-changes-dynamic-supply-demand-and-competition-federal-trade-commission-report-2005/050705gaspricesrpt.pdf</vt:lpwstr>
      </vt:variant>
      <vt:variant>
        <vt:lpwstr/>
      </vt:variant>
      <vt:variant>
        <vt:i4>1769505</vt:i4>
      </vt:variant>
      <vt:variant>
        <vt:i4>3</vt:i4>
      </vt:variant>
      <vt:variant>
        <vt:i4>0</vt:i4>
      </vt:variant>
      <vt:variant>
        <vt:i4>5</vt:i4>
      </vt:variant>
      <vt:variant>
        <vt:lpwstr>http://www.cade.gov.br/acesso-a-informacao/publicacoes-institucionais/contribuicoes-do-cade/contribuicoes-do-cade_medidas-28maio2018-final.pdf</vt:lpwstr>
      </vt:variant>
      <vt:variant>
        <vt:lpwstr/>
      </vt:variant>
      <vt:variant>
        <vt:i4>65630</vt:i4>
      </vt:variant>
      <vt:variant>
        <vt:i4>0</vt:i4>
      </vt:variant>
      <vt:variant>
        <vt:i4>0</vt:i4>
      </vt:variant>
      <vt:variant>
        <vt:i4>5</vt:i4>
      </vt:variant>
      <vt:variant>
        <vt:lpwstr>https://bibliotecadigital.fgv.br/dspace/handle/10438/6895</vt:lpwstr>
      </vt:variant>
      <vt:variant>
        <vt:lpwstr/>
      </vt:variant>
      <vt:variant>
        <vt:i4>6029349</vt:i4>
      </vt:variant>
      <vt:variant>
        <vt:i4>54</vt:i4>
      </vt:variant>
      <vt:variant>
        <vt:i4>0</vt:i4>
      </vt:variant>
      <vt:variant>
        <vt:i4>5</vt:i4>
      </vt:variant>
      <vt:variant>
        <vt:lpwstr>http://www.anp.gov.br/images/Palestras/DecioOddone_19-04-2018-FGV.pdf</vt:lpwstr>
      </vt:variant>
      <vt:variant>
        <vt:lpwstr/>
      </vt:variant>
      <vt:variant>
        <vt:i4>7995499</vt:i4>
      </vt:variant>
      <vt:variant>
        <vt:i4>51</vt:i4>
      </vt:variant>
      <vt:variant>
        <vt:i4>0</vt:i4>
      </vt:variant>
      <vt:variant>
        <vt:i4>5</vt:i4>
      </vt:variant>
      <vt:variant>
        <vt:lpwstr>http://www.fecombustiveis.org.br/revendedor/tributacao/</vt:lpwstr>
      </vt:variant>
      <vt:variant>
        <vt:lpwstr/>
      </vt:variant>
      <vt:variant>
        <vt:i4>4063262</vt:i4>
      </vt:variant>
      <vt:variant>
        <vt:i4>48</vt:i4>
      </vt:variant>
      <vt:variant>
        <vt:i4>0</vt:i4>
      </vt:variant>
      <vt:variant>
        <vt:i4>5</vt:i4>
      </vt:variant>
      <vt:variant>
        <vt:lpwstr>https://www.eia.gov/energyexplained/index.php?page=gasoline_factors_affecting_prices</vt:lpwstr>
      </vt:variant>
      <vt:variant>
        <vt:lpwstr/>
      </vt:variant>
      <vt:variant>
        <vt:i4>2818083</vt:i4>
      </vt:variant>
      <vt:variant>
        <vt:i4>45</vt:i4>
      </vt:variant>
      <vt:variant>
        <vt:i4>0</vt:i4>
      </vt:variant>
      <vt:variant>
        <vt:i4>5</vt:i4>
      </vt:variant>
      <vt:variant>
        <vt:lpwstr>https://www.oecd.org/competition/CompetitionInRoadFuel.pdf</vt:lpwstr>
      </vt:variant>
      <vt:variant>
        <vt:lpwstr/>
      </vt:variant>
      <vt:variant>
        <vt:i4>2752609</vt:i4>
      </vt:variant>
      <vt:variant>
        <vt:i4>42</vt:i4>
      </vt:variant>
      <vt:variant>
        <vt:i4>0</vt:i4>
      </vt:variant>
      <vt:variant>
        <vt:i4>5</vt:i4>
      </vt:variant>
      <vt:variant>
        <vt:lpwstr>https://www.oecd.org/gov/regulatory-policy/Recommendation PR with cover.pdf</vt:lpwstr>
      </vt:variant>
      <vt:variant>
        <vt:lpwstr/>
      </vt:variant>
      <vt:variant>
        <vt:i4>7536680</vt:i4>
      </vt:variant>
      <vt:variant>
        <vt:i4>39</vt:i4>
      </vt:variant>
      <vt:variant>
        <vt:i4>0</vt:i4>
      </vt:variant>
      <vt:variant>
        <vt:i4>5</vt:i4>
      </vt:variant>
      <vt:variant>
        <vt:lpwstr>http://www.casacivil.gov.br/regulacao/apresentacao-regulacao-pasta/comite-interministerial-de-governanca-aprova-as-diretrizes-gerais-e-roteiro-analitico-sugerido-para-analise-de-impacto-regulatorio-diretrizes-air-e-o-guia-orientativo-para-elaboracao-de-analise-de-impacto-regulatorio-guia-air/diretrizes_guia_air_cig_11junho2018.pdf</vt:lpwstr>
      </vt:variant>
      <vt:variant>
        <vt:lpwstr/>
      </vt:variant>
      <vt:variant>
        <vt:i4>7602201</vt:i4>
      </vt:variant>
      <vt:variant>
        <vt:i4>36</vt:i4>
      </vt:variant>
      <vt:variant>
        <vt:i4>0</vt:i4>
      </vt:variant>
      <vt:variant>
        <vt:i4>5</vt:i4>
      </vt:variant>
      <vt:variant>
        <vt:lpwstr>https://www.mtaa.com.au/images/Fuel_Retailing_in_Australia.pdf</vt:lpwstr>
      </vt:variant>
      <vt:variant>
        <vt:lpwstr/>
      </vt:variant>
      <vt:variant>
        <vt:i4>2097250</vt:i4>
      </vt:variant>
      <vt:variant>
        <vt:i4>33</vt:i4>
      </vt:variant>
      <vt:variant>
        <vt:i4>0</vt:i4>
      </vt:variant>
      <vt:variant>
        <vt:i4>5</vt:i4>
      </vt:variant>
      <vt:variant>
        <vt:lpwstr>http://www.oecd.org/competition/abuse/43040511.pdf</vt:lpwstr>
      </vt:variant>
      <vt:variant>
        <vt:lpwstr/>
      </vt:variant>
      <vt:variant>
        <vt:i4>1769505</vt:i4>
      </vt:variant>
      <vt:variant>
        <vt:i4>30</vt:i4>
      </vt:variant>
      <vt:variant>
        <vt:i4>0</vt:i4>
      </vt:variant>
      <vt:variant>
        <vt:i4>5</vt:i4>
      </vt:variant>
      <vt:variant>
        <vt:lpwstr>http://www.cade.gov.br/acesso-a-informacao/publicacoes-institucionais/contribuicoes-do-cade/contribuicoes-do-cade_medidas-28maio2018-final.pdf</vt:lpwstr>
      </vt:variant>
      <vt:variant>
        <vt:lpwstr/>
      </vt:variant>
      <vt:variant>
        <vt:i4>2818083</vt:i4>
      </vt:variant>
      <vt:variant>
        <vt:i4>27</vt:i4>
      </vt:variant>
      <vt:variant>
        <vt:i4>0</vt:i4>
      </vt:variant>
      <vt:variant>
        <vt:i4>5</vt:i4>
      </vt:variant>
      <vt:variant>
        <vt:lpwstr>https://www.oecd.org/competition/CompetitionInRoadFuel.pdf</vt:lpwstr>
      </vt:variant>
      <vt:variant>
        <vt:lpwstr/>
      </vt:variant>
      <vt:variant>
        <vt:i4>8192054</vt:i4>
      </vt:variant>
      <vt:variant>
        <vt:i4>24</vt:i4>
      </vt:variant>
      <vt:variant>
        <vt:i4>0</vt:i4>
      </vt:variant>
      <vt:variant>
        <vt:i4>5</vt:i4>
      </vt:variant>
      <vt:variant>
        <vt:lpwstr>https://www.ftc.gov/sites/default/files/documents/reports/gasoline-price-changes-dynamic-supply-demand-and-competition-federal-trade-commission-report-2005/050705gaspricesrpt.pdf</vt:lpwstr>
      </vt:variant>
      <vt:variant>
        <vt:lpwstr/>
      </vt:variant>
      <vt:variant>
        <vt:i4>8192054</vt:i4>
      </vt:variant>
      <vt:variant>
        <vt:i4>21</vt:i4>
      </vt:variant>
      <vt:variant>
        <vt:i4>0</vt:i4>
      </vt:variant>
      <vt:variant>
        <vt:i4>5</vt:i4>
      </vt:variant>
      <vt:variant>
        <vt:lpwstr>https://www.ftc.gov/sites/default/files/documents/reports/gasoline-price-changes-dynamic-supply-demand-and-competition-federal-trade-commission-report-2005/050705gaspricesrpt.pdf</vt:lpwstr>
      </vt:variant>
      <vt:variant>
        <vt:lpwstr/>
      </vt:variant>
      <vt:variant>
        <vt:i4>2818083</vt:i4>
      </vt:variant>
      <vt:variant>
        <vt:i4>18</vt:i4>
      </vt:variant>
      <vt:variant>
        <vt:i4>0</vt:i4>
      </vt:variant>
      <vt:variant>
        <vt:i4>5</vt:i4>
      </vt:variant>
      <vt:variant>
        <vt:lpwstr>https://www.oecd.org/competition/CompetitionInRoadFuel.pdf</vt:lpwstr>
      </vt:variant>
      <vt:variant>
        <vt:lpwstr/>
      </vt:variant>
      <vt:variant>
        <vt:i4>1769505</vt:i4>
      </vt:variant>
      <vt:variant>
        <vt:i4>15</vt:i4>
      </vt:variant>
      <vt:variant>
        <vt:i4>0</vt:i4>
      </vt:variant>
      <vt:variant>
        <vt:i4>5</vt:i4>
      </vt:variant>
      <vt:variant>
        <vt:lpwstr>http://www.cade.gov.br/acesso-a-informacao/publicacoes-institucionais/contribuicoes-do-cade/contribuicoes-do-cade_medidas-28maio2018-final.pdf</vt:lpwstr>
      </vt:variant>
      <vt:variant>
        <vt:lpwstr/>
      </vt:variant>
      <vt:variant>
        <vt:i4>5636170</vt:i4>
      </vt:variant>
      <vt:variant>
        <vt:i4>12</vt:i4>
      </vt:variant>
      <vt:variant>
        <vt:i4>0</vt:i4>
      </vt:variant>
      <vt:variant>
        <vt:i4>5</vt:i4>
      </vt:variant>
      <vt:variant>
        <vt:lpwstr>http://www.mme.gov.br/web/guest/secretarias/petroleo-gas-natural-e-combustiveis-renovaveis/programas/combustivel-brasil/ct-cb</vt:lpwstr>
      </vt:variant>
      <vt:variant>
        <vt:lpwstr/>
      </vt:variant>
      <vt:variant>
        <vt:i4>2424958</vt:i4>
      </vt:variant>
      <vt:variant>
        <vt:i4>9</vt:i4>
      </vt:variant>
      <vt:variant>
        <vt:i4>0</vt:i4>
      </vt:variant>
      <vt:variant>
        <vt:i4>5</vt:i4>
      </vt:variant>
      <vt:variant>
        <vt:lpwstr>http://www.mme.gov.br/web/guest/consultas-publicas?p_p_id=consultapublicaexterna_WAR_consultapublicaportlet&amp;p_p_lifecycle=0&amp;p_p_state=normal&amp;p_p_mode=view&amp;p_p_col_id=column-1&amp;p_p_col_count=1&amp;_consultapublicaexterna_WAR_consultapublicaportlet_consultaId=29&amp;_consultapublicaexterna_WAR_consultapublicaportlet_mvcPath=/html/publico/dadosConsultaPublica.jsp</vt:lpwstr>
      </vt:variant>
      <vt:variant>
        <vt:lpwstr/>
      </vt:variant>
      <vt:variant>
        <vt:i4>5570574</vt:i4>
      </vt:variant>
      <vt:variant>
        <vt:i4>6</vt:i4>
      </vt:variant>
      <vt:variant>
        <vt:i4>0</vt:i4>
      </vt:variant>
      <vt:variant>
        <vt:i4>5</vt:i4>
      </vt:variant>
      <vt:variant>
        <vt:lpwstr>http://www.mme.gov.br/web/guest/secretarias/petroleo-gas-natural-e-combustiveis-renovaveis/programas/combustivel-brasil/principal</vt:lpwstr>
      </vt:variant>
      <vt:variant>
        <vt:lpwstr/>
      </vt:variant>
      <vt:variant>
        <vt:i4>8192038</vt:i4>
      </vt:variant>
      <vt:variant>
        <vt:i4>3</vt:i4>
      </vt:variant>
      <vt:variant>
        <vt:i4>0</vt:i4>
      </vt:variant>
      <vt:variant>
        <vt:i4>5</vt:i4>
      </vt:variant>
      <vt:variant>
        <vt:lpwstr>http://www.mme.gov.br/documents/10584/24442563/2017+05+10+Combustivel+Brasil+vFinal.pdf</vt:lpwstr>
      </vt:variant>
      <vt:variant>
        <vt:lpwstr/>
      </vt:variant>
      <vt:variant>
        <vt:i4>1769505</vt:i4>
      </vt:variant>
      <vt:variant>
        <vt:i4>0</vt:i4>
      </vt:variant>
      <vt:variant>
        <vt:i4>0</vt:i4>
      </vt:variant>
      <vt:variant>
        <vt:i4>5</vt:i4>
      </vt:variant>
      <vt:variant>
        <vt:lpwstr>http://www.cade.gov.br/acesso-a-informacao/publicacoes-institucionais/contribuicoes-do-cade/contribuicoes-do-cade_medidas-28maio2018-final.pdf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Emmanuel Joppert Ragazzo</dc:creator>
  <cp:lastModifiedBy>Yve Carpi de Souza</cp:lastModifiedBy>
  <cp:revision>10</cp:revision>
  <dcterms:created xsi:type="dcterms:W3CDTF">2018-11-14T10:26:00Z</dcterms:created>
  <dcterms:modified xsi:type="dcterms:W3CDTF">2018-11-14T17:40:00Z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0x01010025DBF9C4A7120049AD1626FBC02C5EE5</vt:lpwstr>
  </property>
</Properties>
</file>